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AF" w:rsidRPr="00C10AC4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Приложение №1 </w:t>
      </w:r>
    </w:p>
    <w:p w:rsidR="000F7FAF" w:rsidRPr="00C10AC4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>к</w:t>
      </w:r>
      <w:proofErr w:type="gramEnd"/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протоколу Наблюдательного </w:t>
      </w:r>
    </w:p>
    <w:p w:rsidR="000F7FAF" w:rsidRPr="00C10AC4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>совета</w:t>
      </w:r>
      <w:proofErr w:type="gramEnd"/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АО «</w:t>
      </w:r>
      <w:proofErr w:type="spellStart"/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>Храми</w:t>
      </w:r>
      <w:proofErr w:type="spellEnd"/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ГЭС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I</w:t>
      </w:r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» </w:t>
      </w:r>
    </w:p>
    <w:p w:rsidR="000F7FAF" w:rsidRPr="00C10AC4" w:rsidRDefault="000F7FAF" w:rsidP="000F7FAF">
      <w:pPr>
        <w:spacing w:after="0" w:line="240" w:lineRule="auto"/>
        <w:ind w:firstLine="6521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>от</w:t>
      </w:r>
      <w:proofErr w:type="gramEnd"/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________ № __________</w:t>
      </w:r>
    </w:p>
    <w:p w:rsidR="000F7FAF" w:rsidRPr="00C10AC4" w:rsidRDefault="000F7FAF" w:rsidP="000F7FAF">
      <w:pPr>
        <w:spacing w:after="0" w:line="240" w:lineRule="auto"/>
        <w:ind w:firstLine="6521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7FAF" w:rsidRPr="00C10AC4" w:rsidRDefault="000F7FAF" w:rsidP="000F7FAF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7FAF" w:rsidRPr="00C10AC4" w:rsidRDefault="000F7FAF" w:rsidP="000F7FAF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7FAF" w:rsidRPr="00C10AC4" w:rsidRDefault="000F7FAF" w:rsidP="000F7FAF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7FAF" w:rsidRPr="00C10AC4" w:rsidRDefault="000F7FAF" w:rsidP="000F7FAF">
      <w:pPr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7FAF" w:rsidRPr="00C10AC4" w:rsidRDefault="000F7FAF" w:rsidP="000F7FAF">
      <w:pPr>
        <w:rPr>
          <w:rFonts w:ascii="Times New Roman" w:hAnsi="Times New Roman"/>
          <w:b/>
          <w:bCs/>
          <w:caps/>
          <w:sz w:val="28"/>
          <w:szCs w:val="28"/>
          <w:lang w:val="ru-RU"/>
        </w:rPr>
      </w:pPr>
    </w:p>
    <w:p w:rsidR="000F7FAF" w:rsidRPr="00C10AC4" w:rsidRDefault="000F7FAF" w:rsidP="000F7FAF">
      <w:pPr>
        <w:rPr>
          <w:rFonts w:ascii="Times New Roman" w:hAnsi="Times New Roman"/>
          <w:b/>
          <w:bCs/>
          <w:caps/>
          <w:sz w:val="28"/>
          <w:szCs w:val="28"/>
          <w:lang w:val="ru-RU"/>
        </w:rPr>
      </w:pPr>
    </w:p>
    <w:p w:rsidR="000F7FAF" w:rsidRPr="00C10AC4" w:rsidRDefault="000F7FAF" w:rsidP="000F7FAF">
      <w:pPr>
        <w:rPr>
          <w:rFonts w:ascii="Times New Roman" w:hAnsi="Times New Roman"/>
          <w:b/>
          <w:bCs/>
          <w:caps/>
          <w:sz w:val="28"/>
          <w:szCs w:val="28"/>
          <w:lang w:val="ru-RU"/>
        </w:rPr>
      </w:pPr>
    </w:p>
    <w:p w:rsidR="000F7FAF" w:rsidRPr="00C10AC4" w:rsidRDefault="000F7FAF" w:rsidP="000F7FAF">
      <w:pPr>
        <w:jc w:val="center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</w:p>
    <w:p w:rsidR="000F7FAF" w:rsidRPr="00C10AC4" w:rsidRDefault="000F7FAF" w:rsidP="000F7FAF">
      <w:pPr>
        <w:jc w:val="center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</w:p>
    <w:p w:rsidR="000F7FAF" w:rsidRDefault="000F7FAF" w:rsidP="000F7FAF">
      <w:pPr>
        <w:tabs>
          <w:tab w:val="center" w:pos="4677"/>
          <w:tab w:val="left" w:pos="6645"/>
        </w:tabs>
        <w:jc w:val="center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 w:rsidRPr="00C10AC4">
        <w:rPr>
          <w:rFonts w:ascii="Times New Roman" w:hAnsi="Times New Roman"/>
          <w:b/>
          <w:bCs/>
          <w:caps/>
          <w:sz w:val="28"/>
          <w:szCs w:val="28"/>
          <w:lang w:val="ru-RU"/>
        </w:rPr>
        <w:t>пРОГРАММА</w:t>
      </w:r>
    </w:p>
    <w:p w:rsidR="000F7FAF" w:rsidRPr="00C10AC4" w:rsidRDefault="000F7FAF" w:rsidP="000F7FAF">
      <w:pPr>
        <w:tabs>
          <w:tab w:val="center" w:pos="4677"/>
          <w:tab w:val="left" w:pos="6645"/>
        </w:tabs>
        <w:jc w:val="center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aps/>
          <w:sz w:val="28"/>
          <w:szCs w:val="28"/>
          <w:lang w:val="ru-RU"/>
        </w:rPr>
        <w:t>РАСПОРЯЖЕНИЯ НЕПРОФИЛЬНЫМИ АКТИВАМИ</w:t>
      </w:r>
    </w:p>
    <w:p w:rsidR="000F7FAF" w:rsidRPr="00C10AC4" w:rsidRDefault="000F7FAF" w:rsidP="000F7FAF">
      <w:pPr>
        <w:tabs>
          <w:tab w:val="center" w:pos="4677"/>
          <w:tab w:val="left" w:pos="6645"/>
        </w:tabs>
        <w:jc w:val="center"/>
        <w:rPr>
          <w:rFonts w:ascii="Times New Roman" w:hAnsi="Times New Roman"/>
          <w:b/>
          <w:bCs/>
          <w:caps/>
          <w:sz w:val="28"/>
          <w:szCs w:val="28"/>
          <w:lang w:val="ru-RU"/>
        </w:rPr>
      </w:pPr>
      <w:r w:rsidRPr="00C10AC4">
        <w:rPr>
          <w:rFonts w:ascii="Times New Roman" w:hAnsi="Times New Roman"/>
          <w:b/>
          <w:bCs/>
          <w:caps/>
          <w:sz w:val="28"/>
          <w:szCs w:val="28"/>
          <w:lang w:val="ru-RU"/>
        </w:rPr>
        <w:t xml:space="preserve">АО «Храми ГЭС </w:t>
      </w:r>
      <w:r>
        <w:rPr>
          <w:rFonts w:ascii="Times New Roman" w:hAnsi="Times New Roman"/>
          <w:b/>
          <w:bCs/>
          <w:caps/>
          <w:sz w:val="28"/>
          <w:szCs w:val="28"/>
        </w:rPr>
        <w:t>I</w:t>
      </w:r>
      <w:r w:rsidRPr="00C10AC4">
        <w:rPr>
          <w:rFonts w:ascii="Times New Roman" w:hAnsi="Times New Roman"/>
          <w:b/>
          <w:bCs/>
          <w:caps/>
          <w:sz w:val="28"/>
          <w:szCs w:val="28"/>
          <w:lang w:val="ru-RU"/>
        </w:rPr>
        <w:t>»</w:t>
      </w:r>
    </w:p>
    <w:p w:rsidR="000F7FAF" w:rsidRPr="00C10AC4" w:rsidRDefault="000F7FAF" w:rsidP="000F7FAF">
      <w:pPr>
        <w:jc w:val="center"/>
        <w:rPr>
          <w:rFonts w:ascii="Times New Roman" w:hAnsi="Times New Roman"/>
          <w:lang w:val="ru-RU"/>
        </w:rPr>
      </w:pPr>
    </w:p>
    <w:p w:rsidR="000F7FAF" w:rsidRPr="00C10AC4" w:rsidRDefault="000F7FAF" w:rsidP="000F7FAF">
      <w:pPr>
        <w:jc w:val="center"/>
        <w:rPr>
          <w:rFonts w:ascii="Times New Roman" w:hAnsi="Times New Roman"/>
          <w:lang w:val="ru-RU"/>
        </w:rPr>
      </w:pPr>
    </w:p>
    <w:p w:rsidR="000F7FAF" w:rsidRPr="00C10AC4" w:rsidRDefault="000F7FAF" w:rsidP="000F7FAF">
      <w:pPr>
        <w:jc w:val="center"/>
        <w:rPr>
          <w:rFonts w:ascii="Times New Roman" w:hAnsi="Times New Roman"/>
          <w:lang w:val="ru-RU"/>
        </w:rPr>
      </w:pPr>
    </w:p>
    <w:p w:rsidR="000F7FAF" w:rsidRPr="00C10AC4" w:rsidRDefault="000F7FAF" w:rsidP="000F7FAF">
      <w:pPr>
        <w:jc w:val="center"/>
        <w:rPr>
          <w:rFonts w:ascii="Times New Roman" w:hAnsi="Times New Roman"/>
          <w:lang w:val="ru-RU"/>
        </w:rPr>
      </w:pPr>
    </w:p>
    <w:p w:rsidR="000F7FAF" w:rsidRPr="00C10AC4" w:rsidRDefault="000F7FAF" w:rsidP="000F7FAF">
      <w:pPr>
        <w:jc w:val="center"/>
        <w:rPr>
          <w:rFonts w:ascii="Times New Roman" w:hAnsi="Times New Roman"/>
          <w:lang w:val="ru-RU"/>
        </w:rPr>
      </w:pPr>
    </w:p>
    <w:p w:rsidR="000F7FAF" w:rsidRPr="00C10AC4" w:rsidRDefault="000F7FAF" w:rsidP="000F7FAF">
      <w:pPr>
        <w:rPr>
          <w:rFonts w:ascii="Times New Roman" w:hAnsi="Times New Roman"/>
          <w:lang w:val="ru-RU"/>
        </w:rPr>
      </w:pPr>
    </w:p>
    <w:p w:rsidR="000F7FAF" w:rsidRPr="00C10AC4" w:rsidRDefault="000F7FAF" w:rsidP="000F7FAF">
      <w:pPr>
        <w:rPr>
          <w:rFonts w:ascii="Times New Roman" w:hAnsi="Times New Roman"/>
          <w:lang w:val="ru-RU"/>
        </w:rPr>
      </w:pPr>
    </w:p>
    <w:p w:rsidR="000F7FAF" w:rsidRPr="00C10AC4" w:rsidRDefault="000F7FAF" w:rsidP="000F7FAF">
      <w:pPr>
        <w:rPr>
          <w:rFonts w:ascii="Times New Roman" w:hAnsi="Times New Roman"/>
          <w:lang w:val="ru-RU"/>
        </w:rPr>
      </w:pPr>
    </w:p>
    <w:p w:rsidR="000F7FAF" w:rsidRDefault="000F7FAF" w:rsidP="000F7FAF">
      <w:pPr>
        <w:rPr>
          <w:rFonts w:ascii="Times New Roman" w:hAnsi="Times New Roman"/>
          <w:lang w:val="ru-RU"/>
        </w:rPr>
      </w:pPr>
    </w:p>
    <w:p w:rsidR="000F7FAF" w:rsidRDefault="000F7FAF" w:rsidP="000F7FAF">
      <w:pPr>
        <w:rPr>
          <w:rFonts w:ascii="Times New Roman" w:hAnsi="Times New Roman"/>
          <w:lang w:val="ru-RU"/>
        </w:rPr>
      </w:pPr>
    </w:p>
    <w:p w:rsidR="000F7FAF" w:rsidRPr="00C10AC4" w:rsidRDefault="000F7FAF" w:rsidP="000F7FAF">
      <w:pPr>
        <w:rPr>
          <w:rFonts w:ascii="Times New Roman" w:hAnsi="Times New Roman"/>
          <w:lang w:val="ru-RU"/>
        </w:rPr>
      </w:pPr>
    </w:p>
    <w:p w:rsidR="000F7FAF" w:rsidRPr="00C10AC4" w:rsidRDefault="000F7FAF" w:rsidP="000F7FAF">
      <w:pPr>
        <w:rPr>
          <w:rFonts w:ascii="Times New Roman" w:hAnsi="Times New Roman"/>
          <w:lang w:val="ru-RU"/>
        </w:rPr>
      </w:pPr>
    </w:p>
    <w:p w:rsidR="000F7FAF" w:rsidRPr="00C10AC4" w:rsidRDefault="000F7FAF" w:rsidP="000F7FAF">
      <w:pPr>
        <w:tabs>
          <w:tab w:val="left" w:pos="0"/>
        </w:tabs>
        <w:spacing w:after="6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F7FAF" w:rsidRPr="00BE4C3E" w:rsidRDefault="000F7FAF" w:rsidP="000F7FAF">
      <w:pPr>
        <w:keepNext/>
        <w:numPr>
          <w:ilvl w:val="0"/>
          <w:numId w:val="1"/>
        </w:numPr>
        <w:spacing w:after="60" w:line="240" w:lineRule="auto"/>
        <w:jc w:val="both"/>
        <w:outlineLvl w:val="0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BE4C3E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lastRenderedPageBreak/>
        <w:t>ОСновные термиты и определения</w:t>
      </w:r>
    </w:p>
    <w:p w:rsidR="000F7FAF" w:rsidRPr="00BE4C3E" w:rsidRDefault="000F7FAF" w:rsidP="000F7FAF">
      <w:pPr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54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44"/>
        <w:gridCol w:w="1620"/>
        <w:gridCol w:w="5581"/>
      </w:tblGrid>
      <w:tr w:rsidR="000F7FAF" w:rsidRPr="00BE4C3E" w:rsidTr="008C7FDA">
        <w:trPr>
          <w:trHeight w:val="291"/>
          <w:tblHeader/>
        </w:trPr>
        <w:tc>
          <w:tcPr>
            <w:tcW w:w="3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:rsidR="000F7FAF" w:rsidRPr="00DD4534" w:rsidRDefault="000F7FAF" w:rsidP="008C7FDA">
            <w:pPr>
              <w:keepNext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proofErr w:type="spellStart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Наименование</w:t>
            </w:r>
            <w:proofErr w:type="spellEnd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</w:t>
            </w:r>
            <w:proofErr w:type="spellStart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термина</w:t>
            </w:r>
            <w:proofErr w:type="spellEnd"/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:rsidR="000F7FAF" w:rsidRPr="00DD4534" w:rsidRDefault="000F7FAF" w:rsidP="008C7FDA">
            <w:pPr>
              <w:keepNext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proofErr w:type="spellStart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Сокращение</w:t>
            </w:r>
            <w:proofErr w:type="spellEnd"/>
          </w:p>
        </w:tc>
        <w:tc>
          <w:tcPr>
            <w:tcW w:w="55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D9D9D9"/>
            <w:vAlign w:val="center"/>
            <w:hideMark/>
          </w:tcPr>
          <w:p w:rsidR="000F7FAF" w:rsidRPr="00DD4534" w:rsidRDefault="000F7FAF" w:rsidP="008C7FDA">
            <w:pPr>
              <w:keepNext/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proofErr w:type="spellStart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Определение</w:t>
            </w:r>
            <w:proofErr w:type="spellEnd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</w:t>
            </w:r>
            <w:proofErr w:type="spellStart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термина</w:t>
            </w:r>
            <w:proofErr w:type="spellEnd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(</w:t>
            </w:r>
            <w:proofErr w:type="spellStart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расшифровка</w:t>
            </w:r>
            <w:proofErr w:type="spellEnd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</w:t>
            </w:r>
            <w:proofErr w:type="spellStart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сокращения</w:t>
            </w:r>
            <w:proofErr w:type="spellEnd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)</w:t>
            </w:r>
          </w:p>
        </w:tc>
      </w:tr>
      <w:tr w:rsidR="000F7FAF" w:rsidRPr="00BE4C3E" w:rsidTr="008C7FDA">
        <w:trPr>
          <w:trHeight w:val="291"/>
        </w:trPr>
        <w:tc>
          <w:tcPr>
            <w:tcW w:w="3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F7FAF" w:rsidRPr="00DD4534" w:rsidRDefault="000F7FAF" w:rsidP="008C7FDA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</w:pPr>
            <w:proofErr w:type="spellStart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Вводимые</w:t>
            </w:r>
            <w:proofErr w:type="spellEnd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 xml:space="preserve"> </w:t>
            </w:r>
            <w:proofErr w:type="spellStart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определения</w:t>
            </w:r>
            <w:proofErr w:type="spellEnd"/>
            <w:r w:rsidRPr="00DD4534"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: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7FAF" w:rsidRPr="00DD4534" w:rsidRDefault="000F7FAF" w:rsidP="008C7FD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55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7FAF" w:rsidRPr="00DD4534" w:rsidRDefault="000F7FAF" w:rsidP="008C7FDA">
            <w:pPr>
              <w:spacing w:after="60" w:line="240" w:lineRule="auto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</w:tr>
      <w:tr w:rsidR="000F7FAF" w:rsidRPr="00BE4C3E" w:rsidTr="008C7FDA">
        <w:trPr>
          <w:trHeight w:val="291"/>
        </w:trPr>
        <w:tc>
          <w:tcPr>
            <w:tcW w:w="3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F7FAF" w:rsidRPr="00DD4534" w:rsidRDefault="000F7FAF" w:rsidP="008C7FDA">
            <w:pPr>
              <w:tabs>
                <w:tab w:val="left" w:pos="0"/>
              </w:tabs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534">
              <w:rPr>
                <w:rFonts w:ascii="Times New Roman" w:hAnsi="Times New Roman" w:cs="Times New Roman"/>
              </w:rPr>
              <w:t>Общество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F7FAF" w:rsidRPr="00DD4534" w:rsidRDefault="000F7FAF" w:rsidP="008C7FD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F7FAF" w:rsidRPr="00DD4534" w:rsidRDefault="000F7FAF" w:rsidP="008C7FDA">
            <w:pPr>
              <w:spacing w:after="6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DD4534">
              <w:rPr>
                <w:rFonts w:ascii="Times New Roman" w:eastAsia="Times New Roman" w:hAnsi="Times New Roman" w:cs="Times New Roman"/>
                <w:lang w:eastAsia="zh-CN"/>
              </w:rPr>
              <w:t>АО «</w:t>
            </w:r>
            <w:proofErr w:type="spellStart"/>
            <w:r w:rsidRPr="00DD4534">
              <w:rPr>
                <w:rFonts w:ascii="Times New Roman" w:eastAsia="Times New Roman" w:hAnsi="Times New Roman" w:cs="Times New Roman"/>
                <w:lang w:eastAsia="zh-CN"/>
              </w:rPr>
              <w:t>Храми</w:t>
            </w:r>
            <w:proofErr w:type="spellEnd"/>
            <w:r w:rsidRPr="00DD4534">
              <w:rPr>
                <w:rFonts w:ascii="Times New Roman" w:eastAsia="Times New Roman" w:hAnsi="Times New Roman" w:cs="Times New Roman"/>
                <w:lang w:eastAsia="zh-CN"/>
              </w:rPr>
              <w:t xml:space="preserve"> ГЭС I»</w:t>
            </w:r>
          </w:p>
        </w:tc>
      </w:tr>
      <w:tr w:rsidR="000F7FAF" w:rsidRPr="008C7FDA" w:rsidTr="008C7FDA">
        <w:trPr>
          <w:trHeight w:val="291"/>
        </w:trPr>
        <w:tc>
          <w:tcPr>
            <w:tcW w:w="3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F7FAF" w:rsidRPr="00DD4534" w:rsidRDefault="000F7FAF" w:rsidP="008C7FDA">
            <w:pPr>
              <w:tabs>
                <w:tab w:val="left" w:pos="0"/>
              </w:tabs>
              <w:spacing w:after="6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DD4534">
              <w:rPr>
                <w:rFonts w:ascii="Times New Roman" w:hAnsi="Times New Roman" w:cs="Times New Roman"/>
              </w:rPr>
              <w:t>Активы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534">
              <w:rPr>
                <w:rFonts w:ascii="Times New Roman" w:hAnsi="Times New Roman" w:cs="Times New Roman"/>
              </w:rPr>
              <w:t>Общества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7FAF" w:rsidRPr="00DD4534" w:rsidRDefault="000F7FAF" w:rsidP="008C7FD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</w:p>
        </w:tc>
        <w:tc>
          <w:tcPr>
            <w:tcW w:w="55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F7FAF" w:rsidRPr="00DD4534" w:rsidRDefault="000F7FAF" w:rsidP="008C7FD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 w:eastAsia="zh-CN"/>
              </w:rPr>
            </w:pPr>
            <w:r w:rsidRPr="00DD4534">
              <w:rPr>
                <w:rFonts w:ascii="Times New Roman" w:eastAsia="Times New Roman" w:hAnsi="Times New Roman" w:cs="Times New Roman"/>
                <w:lang w:val="ru-RU" w:eastAsia="zh-CN"/>
              </w:rPr>
              <w:t xml:space="preserve">Основные и оборотные средства Общества, включая денежные средства, материальные ценности, нематериальные активы, финансовые вложения. </w:t>
            </w:r>
            <w:r w:rsidRPr="00B300B4">
              <w:rPr>
                <w:rFonts w:ascii="Times New Roman" w:eastAsia="Times New Roman" w:hAnsi="Times New Roman" w:cs="Times New Roman"/>
                <w:lang w:val="ru-RU" w:eastAsia="zh-CN"/>
              </w:rPr>
              <w:t>В соотв</w:t>
            </w:r>
            <w:r>
              <w:rPr>
                <w:rFonts w:ascii="Times New Roman" w:eastAsia="Times New Roman" w:hAnsi="Times New Roman" w:cs="Times New Roman"/>
                <w:lang w:val="ru-RU" w:eastAsia="zh-CN"/>
              </w:rPr>
              <w:t>етствии с настоящей Программой</w:t>
            </w:r>
            <w:r w:rsidRPr="00B300B4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в область анализа попадают </w:t>
            </w:r>
            <w:proofErr w:type="spellStart"/>
            <w:r w:rsidRPr="00B300B4">
              <w:rPr>
                <w:rFonts w:ascii="Times New Roman" w:eastAsia="Times New Roman" w:hAnsi="Times New Roman" w:cs="Times New Roman"/>
                <w:lang w:val="ru-RU" w:eastAsia="zh-CN"/>
              </w:rPr>
              <w:t>внеоборотные</w:t>
            </w:r>
            <w:proofErr w:type="spellEnd"/>
            <w:r w:rsidRPr="00B300B4">
              <w:rPr>
                <w:rFonts w:ascii="Times New Roman" w:eastAsia="Times New Roman" w:hAnsi="Times New Roman" w:cs="Times New Roman"/>
                <w:lang w:val="ru-RU" w:eastAsia="zh-CN"/>
              </w:rPr>
              <w:t xml:space="preserve"> активы Общества.</w:t>
            </w:r>
          </w:p>
        </w:tc>
      </w:tr>
      <w:tr w:rsidR="000F7FAF" w:rsidRPr="008C7FDA" w:rsidTr="008C7FDA">
        <w:trPr>
          <w:trHeight w:val="291"/>
        </w:trPr>
        <w:tc>
          <w:tcPr>
            <w:tcW w:w="3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F7FAF" w:rsidRPr="00DD4534" w:rsidRDefault="000F7FAF" w:rsidP="008C7FDA">
            <w:pPr>
              <w:tabs>
                <w:tab w:val="left" w:pos="0"/>
              </w:tabs>
              <w:spacing w:after="6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4534">
              <w:rPr>
                <w:rFonts w:ascii="Times New Roman" w:hAnsi="Times New Roman" w:cs="Times New Roman"/>
                <w:lang w:val="ru-RU"/>
              </w:rPr>
              <w:t xml:space="preserve">Профильный актив 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7FAF" w:rsidRPr="00DD4534" w:rsidRDefault="000F7FAF" w:rsidP="008C7FD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55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F7FAF" w:rsidRPr="00DD4534" w:rsidRDefault="000F7FAF" w:rsidP="008C7FDA">
            <w:pPr>
              <w:spacing w:after="60" w:line="240" w:lineRule="auto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  <w:r w:rsidRPr="00DD4534">
              <w:rPr>
                <w:rFonts w:ascii="Times New Roman" w:hAnsi="Times New Roman" w:cs="Times New Roman"/>
                <w:bCs/>
                <w:lang w:val="ru-RU"/>
              </w:rPr>
              <w:t>Актив, принадлежащий Компании на праве собственности, и используемый в основных видах деятельности или необходимый для реализации Долгосрочной программы развития, Стратегии развития (при наличии таких программы и стратегии), или соответствующий критериям профильности в соответствии с настоящей программой</w:t>
            </w:r>
          </w:p>
          <w:p w:rsidR="000F7FAF" w:rsidRPr="00DD4534" w:rsidRDefault="000F7FAF" w:rsidP="008C7FD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</w:tr>
      <w:tr w:rsidR="000F7FAF" w:rsidRPr="000F7FAF" w:rsidTr="008C7FDA">
        <w:trPr>
          <w:trHeight w:val="291"/>
        </w:trPr>
        <w:tc>
          <w:tcPr>
            <w:tcW w:w="3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F7FAF" w:rsidRPr="00DD4534" w:rsidRDefault="000F7FAF" w:rsidP="008C7FDA">
            <w:pPr>
              <w:tabs>
                <w:tab w:val="left" w:pos="0"/>
              </w:tabs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534">
              <w:rPr>
                <w:rFonts w:ascii="Times New Roman" w:hAnsi="Times New Roman" w:cs="Times New Roman"/>
              </w:rPr>
              <w:t>Непрофильный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534">
              <w:rPr>
                <w:rFonts w:ascii="Times New Roman" w:hAnsi="Times New Roman" w:cs="Times New Roman"/>
              </w:rPr>
              <w:t>актив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0F7FAF" w:rsidRPr="00DD4534" w:rsidRDefault="000F7FAF" w:rsidP="008C7FD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  <w:hideMark/>
          </w:tcPr>
          <w:p w:rsidR="000F7FAF" w:rsidRPr="00DD4534" w:rsidRDefault="000F7FAF" w:rsidP="008C7FD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D4534">
              <w:rPr>
                <w:rFonts w:ascii="Times New Roman" w:eastAsia="Times New Roman" w:hAnsi="Times New Roman" w:cs="Times New Roman"/>
                <w:lang w:val="ru-RU" w:eastAsia="zh-CN"/>
              </w:rPr>
              <w:t>Актив, принадлежащий Обществу на праве собственности, не участвующие в осуществлении основных видов деятельности и не соответствующий понятию «профильный актив», включая акции (доли в уставных капиталах) хозяйственных обществ вне зависимости от основного вида деятельности таких обществ, в случае если Обществу принадлежит пакет акций (доля в уставном капитале) хозяйственного общества, составляющий менее 50 % уставного капитала</w:t>
            </w:r>
          </w:p>
        </w:tc>
      </w:tr>
      <w:tr w:rsidR="000F7FAF" w:rsidRPr="008C7FDA" w:rsidTr="008C7FDA">
        <w:trPr>
          <w:trHeight w:val="291"/>
        </w:trPr>
        <w:tc>
          <w:tcPr>
            <w:tcW w:w="3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F7FAF" w:rsidRPr="00DD4534" w:rsidRDefault="000F7FAF" w:rsidP="008C7FDA">
            <w:pPr>
              <w:tabs>
                <w:tab w:val="left" w:pos="0"/>
              </w:tabs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534">
              <w:rPr>
                <w:rFonts w:ascii="Times New Roman" w:hAnsi="Times New Roman" w:cs="Times New Roman"/>
              </w:rPr>
              <w:t>Основные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534">
              <w:rPr>
                <w:rFonts w:ascii="Times New Roman" w:hAnsi="Times New Roman" w:cs="Times New Roman"/>
              </w:rPr>
              <w:t>виды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534">
              <w:rPr>
                <w:rFonts w:ascii="Times New Roman" w:hAnsi="Times New Roman" w:cs="Times New Roman"/>
              </w:rPr>
              <w:t>деятельности</w:t>
            </w:r>
            <w:proofErr w:type="spellEnd"/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F7FAF" w:rsidRPr="00DD4534" w:rsidRDefault="000F7FAF" w:rsidP="008C7FD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55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F7FAF" w:rsidRPr="00DD4534" w:rsidRDefault="000F7FAF" w:rsidP="008C7FD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lang w:val="ru-RU" w:eastAsia="zh-CN"/>
              </w:rPr>
            </w:pPr>
            <w:r w:rsidRPr="00DD4534">
              <w:rPr>
                <w:rFonts w:ascii="Times New Roman" w:eastAsia="Times New Roman" w:hAnsi="Times New Roman" w:cs="Times New Roman"/>
                <w:lang w:val="ru-RU" w:eastAsia="zh-CN"/>
              </w:rPr>
              <w:t>Виды деятельности, определенные Уставом Общества</w:t>
            </w:r>
          </w:p>
        </w:tc>
      </w:tr>
      <w:tr w:rsidR="000F7FAF" w:rsidRPr="008C7FDA" w:rsidTr="008C7FDA">
        <w:trPr>
          <w:trHeight w:val="291"/>
        </w:trPr>
        <w:tc>
          <w:tcPr>
            <w:tcW w:w="3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F7FAF" w:rsidRPr="00DD4534" w:rsidRDefault="000F7FAF" w:rsidP="008C7FDA">
            <w:pPr>
              <w:tabs>
                <w:tab w:val="left" w:pos="0"/>
              </w:tabs>
              <w:spacing w:after="6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4534">
              <w:rPr>
                <w:rFonts w:ascii="Times New Roman" w:hAnsi="Times New Roman" w:cs="Times New Roman"/>
                <w:lang w:val="ru-RU"/>
              </w:rPr>
              <w:t xml:space="preserve">Программа распоряжения непрофильных активов Общества  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F7FAF" w:rsidRPr="00DD4534" w:rsidRDefault="000F7FAF" w:rsidP="008C7FD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55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F7FAF" w:rsidRPr="00DD4534" w:rsidRDefault="000F7FAF" w:rsidP="008C7FD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DD4534">
              <w:rPr>
                <w:rFonts w:ascii="Times New Roman" w:eastAsia="Times New Roman" w:hAnsi="Times New Roman" w:cs="Times New Roman"/>
                <w:lang w:val="ru-RU" w:eastAsia="zh-CN"/>
              </w:rPr>
              <w:t>Внутренний документ Общества, отражающий основные подходы, принципы и механизм выявления и реализации непрофильных активов</w:t>
            </w:r>
          </w:p>
        </w:tc>
      </w:tr>
      <w:tr w:rsidR="000F7FAF" w:rsidRPr="008C7FDA" w:rsidTr="008C7FDA">
        <w:trPr>
          <w:trHeight w:val="291"/>
        </w:trPr>
        <w:tc>
          <w:tcPr>
            <w:tcW w:w="3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F7FAF" w:rsidRPr="00DD4534" w:rsidRDefault="000F7FAF" w:rsidP="008C7FDA">
            <w:pPr>
              <w:tabs>
                <w:tab w:val="left" w:pos="0"/>
              </w:tabs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534">
              <w:rPr>
                <w:rFonts w:ascii="Times New Roman" w:hAnsi="Times New Roman" w:cs="Times New Roman"/>
              </w:rPr>
              <w:t>Реестр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534">
              <w:rPr>
                <w:rFonts w:ascii="Times New Roman" w:hAnsi="Times New Roman" w:cs="Times New Roman"/>
              </w:rPr>
              <w:t>непрофильных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534">
              <w:rPr>
                <w:rFonts w:ascii="Times New Roman" w:hAnsi="Times New Roman" w:cs="Times New Roman"/>
              </w:rPr>
              <w:t>активов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534">
              <w:rPr>
                <w:rFonts w:ascii="Times New Roman" w:hAnsi="Times New Roman" w:cs="Times New Roman"/>
              </w:rPr>
              <w:t>Общества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F7FAF" w:rsidRPr="00DD4534" w:rsidRDefault="000F7FAF" w:rsidP="008C7FD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534">
              <w:rPr>
                <w:rFonts w:ascii="Times New Roman" w:hAnsi="Times New Roman" w:cs="Times New Roman"/>
                <w:bCs/>
              </w:rPr>
              <w:t>РНА</w:t>
            </w:r>
          </w:p>
        </w:tc>
        <w:tc>
          <w:tcPr>
            <w:tcW w:w="55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F7FAF" w:rsidRPr="00DD4534" w:rsidRDefault="000F7FAF" w:rsidP="008C7FDA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Cs/>
                <w:lang w:val="ru-RU"/>
              </w:rPr>
            </w:pPr>
            <w:r w:rsidRPr="00DD4534">
              <w:rPr>
                <w:rFonts w:ascii="Times New Roman" w:eastAsia="Times New Roman" w:hAnsi="Times New Roman" w:cs="Times New Roman"/>
                <w:lang w:val="ru-RU" w:eastAsia="zh-CN"/>
              </w:rPr>
              <w:t>Перечень всех выявленных непрофильных активов Общества</w:t>
            </w:r>
          </w:p>
        </w:tc>
      </w:tr>
      <w:tr w:rsidR="000F7FAF" w:rsidRPr="008C7FDA" w:rsidTr="008C7FDA">
        <w:trPr>
          <w:trHeight w:val="291"/>
        </w:trPr>
        <w:tc>
          <w:tcPr>
            <w:tcW w:w="3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F7FAF" w:rsidRPr="00DD4534" w:rsidRDefault="000F7FAF" w:rsidP="008C7FDA">
            <w:pPr>
              <w:tabs>
                <w:tab w:val="left" w:pos="0"/>
              </w:tabs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534">
              <w:rPr>
                <w:rFonts w:ascii="Times New Roman" w:hAnsi="Times New Roman" w:cs="Times New Roman"/>
              </w:rPr>
              <w:t>Единица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534">
              <w:rPr>
                <w:rFonts w:ascii="Times New Roman" w:hAnsi="Times New Roman" w:cs="Times New Roman"/>
              </w:rPr>
              <w:t>управленческого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534">
              <w:rPr>
                <w:rFonts w:ascii="Times New Roman" w:hAnsi="Times New Roman" w:cs="Times New Roman"/>
              </w:rPr>
              <w:t>учета</w:t>
            </w:r>
            <w:proofErr w:type="spellEnd"/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F7FAF" w:rsidRPr="00DD4534" w:rsidRDefault="000F7FAF" w:rsidP="008C7FD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DD4534">
              <w:rPr>
                <w:rFonts w:ascii="Times New Roman" w:hAnsi="Times New Roman" w:cs="Times New Roman"/>
                <w:bCs/>
              </w:rPr>
              <w:t>Е2У</w:t>
            </w:r>
          </w:p>
        </w:tc>
        <w:tc>
          <w:tcPr>
            <w:tcW w:w="55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F7FAF" w:rsidRPr="00DD4534" w:rsidRDefault="000F7FAF" w:rsidP="008C7FDA">
            <w:pPr>
              <w:tabs>
                <w:tab w:val="left" w:pos="0"/>
              </w:tabs>
              <w:spacing w:after="6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4534">
              <w:rPr>
                <w:rFonts w:ascii="Times New Roman" w:hAnsi="Times New Roman" w:cs="Times New Roman"/>
                <w:lang w:val="ru-RU"/>
              </w:rPr>
              <w:t>Е2У как отдельный актив, так и минимальный комплекс активов, способный (в том числе потенциально) самостоятельно генерировать поступление денежных средств.</w:t>
            </w:r>
          </w:p>
        </w:tc>
      </w:tr>
      <w:tr w:rsidR="000F7FAF" w:rsidRPr="008C7FDA" w:rsidTr="008C7FDA">
        <w:trPr>
          <w:trHeight w:val="291"/>
        </w:trPr>
        <w:tc>
          <w:tcPr>
            <w:tcW w:w="3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F7FAF" w:rsidRPr="00DD4534" w:rsidRDefault="000F7FAF" w:rsidP="008C7FDA">
            <w:pPr>
              <w:tabs>
                <w:tab w:val="left" w:pos="0"/>
              </w:tabs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DD4534">
              <w:rPr>
                <w:rFonts w:ascii="Times New Roman" w:hAnsi="Times New Roman" w:cs="Times New Roman"/>
              </w:rPr>
              <w:t>Реест</w:t>
            </w:r>
            <w:proofErr w:type="spellEnd"/>
            <w:r w:rsidRPr="00DD4534">
              <w:rPr>
                <w:rFonts w:ascii="Times New Roman" w:hAnsi="Times New Roman" w:cs="Times New Roman"/>
                <w:lang w:val="ru-RU"/>
              </w:rPr>
              <w:t>р</w:t>
            </w:r>
            <w:r w:rsidRPr="00DD4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534">
              <w:rPr>
                <w:rFonts w:ascii="Times New Roman" w:hAnsi="Times New Roman" w:cs="Times New Roman"/>
              </w:rPr>
              <w:t>единиц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534">
              <w:rPr>
                <w:rFonts w:ascii="Times New Roman" w:hAnsi="Times New Roman" w:cs="Times New Roman"/>
              </w:rPr>
              <w:t>управленческого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D4534">
              <w:rPr>
                <w:rFonts w:ascii="Times New Roman" w:hAnsi="Times New Roman" w:cs="Times New Roman"/>
              </w:rPr>
              <w:t>учета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F7FAF" w:rsidRPr="00DD4534" w:rsidRDefault="000F7FAF" w:rsidP="008C7FD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DD4534">
              <w:rPr>
                <w:rFonts w:ascii="Times New Roman" w:hAnsi="Times New Roman" w:cs="Times New Roman"/>
              </w:rPr>
              <w:t>Реестр</w:t>
            </w:r>
            <w:proofErr w:type="spellEnd"/>
            <w:r w:rsidRPr="00DD4534">
              <w:rPr>
                <w:rFonts w:ascii="Times New Roman" w:hAnsi="Times New Roman" w:cs="Times New Roman"/>
              </w:rPr>
              <w:t xml:space="preserve"> Е2У</w:t>
            </w:r>
          </w:p>
        </w:tc>
        <w:tc>
          <w:tcPr>
            <w:tcW w:w="55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F7FAF" w:rsidRPr="00DD4534" w:rsidRDefault="000F7FAF" w:rsidP="008C7FDA">
            <w:pPr>
              <w:tabs>
                <w:tab w:val="left" w:pos="0"/>
              </w:tabs>
              <w:spacing w:after="6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4534">
              <w:rPr>
                <w:rFonts w:ascii="Times New Roman" w:hAnsi="Times New Roman" w:cs="Times New Roman"/>
                <w:lang w:val="ru-RU"/>
              </w:rPr>
              <w:t xml:space="preserve">Перечень всех Е2У Общества, который формируется и ведется на постоянной основе руководством Общества. </w:t>
            </w:r>
          </w:p>
        </w:tc>
      </w:tr>
      <w:tr w:rsidR="000F7FAF" w:rsidRPr="008C7FDA" w:rsidTr="008C7FDA">
        <w:trPr>
          <w:trHeight w:val="291"/>
        </w:trPr>
        <w:tc>
          <w:tcPr>
            <w:tcW w:w="3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F7FAF" w:rsidRPr="00DD4534" w:rsidRDefault="000F7FAF" w:rsidP="008C7FDA">
            <w:pPr>
              <w:tabs>
                <w:tab w:val="left" w:pos="0"/>
              </w:tabs>
              <w:spacing w:after="6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4534">
              <w:rPr>
                <w:rFonts w:ascii="Times New Roman" w:hAnsi="Times New Roman" w:cs="Times New Roman"/>
                <w:lang w:val="ru-RU"/>
              </w:rPr>
              <w:t xml:space="preserve">План мероприятий по реализации непрофильных активов </w:t>
            </w:r>
          </w:p>
        </w:tc>
        <w:tc>
          <w:tcPr>
            <w:tcW w:w="16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0F7FAF" w:rsidRPr="00DD4534" w:rsidRDefault="000F7FAF" w:rsidP="008C7FDA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ru-RU"/>
              </w:rPr>
            </w:pPr>
          </w:p>
        </w:tc>
        <w:tc>
          <w:tcPr>
            <w:tcW w:w="55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0F7FAF" w:rsidRPr="00DD4534" w:rsidRDefault="000F7FAF" w:rsidP="008C7FDA">
            <w:pPr>
              <w:tabs>
                <w:tab w:val="left" w:pos="0"/>
              </w:tabs>
              <w:spacing w:after="6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DD4534">
              <w:rPr>
                <w:rFonts w:ascii="Times New Roman" w:hAnsi="Times New Roman" w:cs="Times New Roman"/>
                <w:lang w:val="ru-RU"/>
              </w:rPr>
              <w:t>Внутренний документ Общества, включающий в себя перечень непрофильных активов, планируемых к реализации (отчуждению), способы их реализации с поквартальной разбивкой, а также экономическое обоснование реализации (отчуждения)</w:t>
            </w:r>
          </w:p>
        </w:tc>
      </w:tr>
    </w:tbl>
    <w:p w:rsidR="000F7FAF" w:rsidRPr="00C10AC4" w:rsidRDefault="000F7FAF" w:rsidP="000F7FAF">
      <w:pPr>
        <w:spacing w:after="6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F7FAF" w:rsidRPr="00C10AC4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7FAF" w:rsidRPr="00C10AC4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7FAF" w:rsidRPr="00C10AC4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7FAF" w:rsidRPr="006F53A5" w:rsidRDefault="000F7FAF" w:rsidP="000F7FAF">
      <w:pPr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D7EC3">
        <w:rPr>
          <w:rFonts w:ascii="Times New Roman" w:hAnsi="Times New Roman" w:cs="Times New Roman"/>
          <w:b/>
          <w:sz w:val="28"/>
          <w:szCs w:val="28"/>
          <w:lang w:val="ru-RU"/>
        </w:rPr>
        <w:t>2.</w:t>
      </w:r>
      <w:r w:rsidRPr="008D7EC3">
        <w:rPr>
          <w:rFonts w:ascii="Times New Roman" w:hAnsi="Times New Roman" w:cs="Times New Roman"/>
          <w:b/>
          <w:sz w:val="28"/>
          <w:szCs w:val="28"/>
          <w:lang w:val="ru-RU"/>
        </w:rPr>
        <w:tab/>
        <w:t>Принципы реализации непрофильных активов.</w:t>
      </w:r>
    </w:p>
    <w:p w:rsidR="000F7FAF" w:rsidRPr="008D7EC3" w:rsidRDefault="000F7FAF" w:rsidP="000F7FA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D7EC3">
        <w:rPr>
          <w:rFonts w:ascii="Times New Roman" w:hAnsi="Times New Roman" w:cs="Times New Roman"/>
          <w:sz w:val="24"/>
          <w:szCs w:val="24"/>
          <w:lang w:val="ru-RU"/>
        </w:rPr>
        <w:lastRenderedPageBreak/>
        <w:t>а)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End"/>
      <w:r w:rsidRPr="008D7EC3">
        <w:rPr>
          <w:rFonts w:ascii="Times New Roman" w:hAnsi="Times New Roman" w:cs="Times New Roman"/>
          <w:sz w:val="24"/>
          <w:szCs w:val="24"/>
          <w:lang w:val="ru-RU"/>
        </w:rPr>
        <w:t>транспарентность</w:t>
      </w:r>
      <w:proofErr w:type="spellEnd"/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– открытость и доступность информации о применяемых методах и подходах по выявлению непрофильных активов из всей совокупности активов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F7FAF" w:rsidRPr="008D7EC3" w:rsidRDefault="000F7FAF" w:rsidP="000F7FA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D7EC3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системность – регулярный анализ активов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на предмет выявления их </w:t>
      </w:r>
      <w:proofErr w:type="spellStart"/>
      <w:r w:rsidRPr="008D7EC3">
        <w:rPr>
          <w:rFonts w:ascii="Times New Roman" w:hAnsi="Times New Roman" w:cs="Times New Roman"/>
          <w:sz w:val="24"/>
          <w:szCs w:val="24"/>
          <w:lang w:val="ru-RU"/>
        </w:rPr>
        <w:t>непрофильности</w:t>
      </w:r>
      <w:proofErr w:type="spellEnd"/>
      <w:r w:rsidRPr="008D7EC3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F7FAF" w:rsidRPr="008D7EC3" w:rsidRDefault="000F7FAF" w:rsidP="000F7FA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D7EC3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8D7EC3">
        <w:rPr>
          <w:rFonts w:ascii="Times New Roman" w:hAnsi="Times New Roman" w:cs="Times New Roman"/>
          <w:sz w:val="24"/>
          <w:szCs w:val="24"/>
          <w:lang w:val="ru-RU"/>
        </w:rPr>
        <w:t>прозрачность – обеспечение открытых и публичных процедур по реализации непрофильных активов, в том числе использование доступных для потенциальных покупателей способов раскрытия информации о реализации непрофильных активов;</w:t>
      </w:r>
    </w:p>
    <w:p w:rsidR="000F7FAF" w:rsidRPr="008D7EC3" w:rsidRDefault="000F7FAF" w:rsidP="000F7F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D7EC3">
        <w:rPr>
          <w:rFonts w:ascii="Times New Roman" w:hAnsi="Times New Roman" w:cs="Times New Roman"/>
          <w:sz w:val="24"/>
          <w:szCs w:val="24"/>
          <w:lang w:val="ru-RU"/>
        </w:rPr>
        <w:t>г)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8D7EC3">
        <w:rPr>
          <w:rFonts w:ascii="Times New Roman" w:hAnsi="Times New Roman" w:cs="Times New Roman"/>
          <w:sz w:val="24"/>
          <w:szCs w:val="24"/>
          <w:lang w:val="ru-RU"/>
        </w:rPr>
        <w:t>эффективность – экономически обоснованная реализация непрофильного актива;</w:t>
      </w:r>
    </w:p>
    <w:p w:rsidR="000F7FAF" w:rsidRPr="008D7EC3" w:rsidRDefault="000F7FAF" w:rsidP="000F7F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D7EC3">
        <w:rPr>
          <w:rFonts w:ascii="Times New Roman" w:hAnsi="Times New Roman" w:cs="Times New Roman"/>
          <w:sz w:val="24"/>
          <w:szCs w:val="24"/>
          <w:lang w:val="ru-RU"/>
        </w:rPr>
        <w:t>д)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8D7EC3">
        <w:rPr>
          <w:rFonts w:ascii="Times New Roman" w:hAnsi="Times New Roman" w:cs="Times New Roman"/>
          <w:sz w:val="24"/>
          <w:szCs w:val="24"/>
          <w:lang w:val="ru-RU"/>
        </w:rPr>
        <w:t>максимизация  доходов – реализация непрофильных активов на возмездной основе;</w:t>
      </w:r>
    </w:p>
    <w:p w:rsidR="000F7FAF" w:rsidRPr="008D7EC3" w:rsidRDefault="000F7FAF" w:rsidP="000F7F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D7EC3">
        <w:rPr>
          <w:rFonts w:ascii="Times New Roman" w:hAnsi="Times New Roman" w:cs="Times New Roman"/>
          <w:sz w:val="24"/>
          <w:szCs w:val="24"/>
          <w:lang w:val="ru-RU"/>
        </w:rPr>
        <w:t>е)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8D7EC3">
        <w:rPr>
          <w:rFonts w:ascii="Times New Roman" w:hAnsi="Times New Roman" w:cs="Times New Roman"/>
          <w:sz w:val="24"/>
          <w:szCs w:val="24"/>
          <w:lang w:val="ru-RU"/>
        </w:rPr>
        <w:t>минимизация расходов – снижение затрат на содержание неликвидных активов;</w:t>
      </w:r>
    </w:p>
    <w:p w:rsidR="000F7FAF" w:rsidRPr="008D7EC3" w:rsidRDefault="000F7FAF" w:rsidP="000F7FAF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D7EC3">
        <w:rPr>
          <w:rFonts w:ascii="Times New Roman" w:hAnsi="Times New Roman" w:cs="Times New Roman"/>
          <w:sz w:val="24"/>
          <w:szCs w:val="24"/>
          <w:lang w:val="ru-RU"/>
        </w:rPr>
        <w:t>ж)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защита  экономических интересов при распоряжении активами – своевременная реализация активов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, предотвращение потери стоимости активов, защита прав и интересов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перед совладельцами активов и третьими лицами.</w:t>
      </w:r>
    </w:p>
    <w:p w:rsidR="000F7FAF" w:rsidRPr="008D7EC3" w:rsidRDefault="000F7FAF" w:rsidP="000F7FAF">
      <w:pPr>
        <w:ind w:firstLine="765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F7FAF" w:rsidRPr="006F53A5" w:rsidRDefault="000F7FAF" w:rsidP="000F7FAF">
      <w:pPr>
        <w:ind w:firstLine="76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b/>
          <w:sz w:val="24"/>
          <w:szCs w:val="24"/>
          <w:lang w:val="ru-RU"/>
        </w:rPr>
        <w:t>3.</w:t>
      </w:r>
      <w:r w:rsidRPr="008D7EC3">
        <w:rPr>
          <w:rFonts w:ascii="Times New Roman" w:hAnsi="Times New Roman" w:cs="Times New Roman"/>
          <w:b/>
          <w:sz w:val="24"/>
          <w:szCs w:val="24"/>
          <w:lang w:val="ru-RU"/>
        </w:rPr>
        <w:tab/>
        <w:t>Порядок выявления непрофильных активов.</w:t>
      </w:r>
    </w:p>
    <w:p w:rsidR="000F7FAF" w:rsidRPr="008D7EC3" w:rsidRDefault="000F7FAF" w:rsidP="000F7FAF">
      <w:pPr>
        <w:ind w:firstLine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Процесс выявления непрофильных активов из состава всех активов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начинается с анализа </w:t>
      </w:r>
      <w:proofErr w:type="spellStart"/>
      <w:r w:rsidRPr="008D7EC3">
        <w:rPr>
          <w:rFonts w:ascii="Times New Roman" w:hAnsi="Times New Roman" w:cs="Times New Roman"/>
          <w:sz w:val="24"/>
          <w:szCs w:val="24"/>
          <w:lang w:val="ru-RU"/>
        </w:rPr>
        <w:t>внеоборотных</w:t>
      </w:r>
      <w:proofErr w:type="spellEnd"/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активов, который проводится в 3 этапа:</w:t>
      </w:r>
    </w:p>
    <w:p w:rsidR="000F7FAF" w:rsidRPr="008D7EC3" w:rsidRDefault="000F7FAF" w:rsidP="000F7FAF">
      <w:pPr>
        <w:numPr>
          <w:ilvl w:val="0"/>
          <w:numId w:val="2"/>
        </w:numPr>
        <w:tabs>
          <w:tab w:val="left" w:pos="1000"/>
        </w:tabs>
        <w:spacing w:after="0" w:line="240" w:lineRule="auto"/>
        <w:ind w:firstLine="765"/>
        <w:rPr>
          <w:rFonts w:ascii="Times New Roman" w:hAnsi="Times New Roman" w:cs="Times New Roman"/>
          <w:sz w:val="24"/>
          <w:szCs w:val="24"/>
        </w:rPr>
      </w:pPr>
      <w:proofErr w:type="spellStart"/>
      <w:r w:rsidRPr="008D7EC3">
        <w:rPr>
          <w:rFonts w:ascii="Times New Roman" w:hAnsi="Times New Roman" w:cs="Times New Roman"/>
          <w:sz w:val="24"/>
          <w:szCs w:val="24"/>
        </w:rPr>
        <w:t>Подготовительный</w:t>
      </w:r>
      <w:proofErr w:type="spellEnd"/>
      <w:r w:rsidRPr="008D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EC3">
        <w:rPr>
          <w:rFonts w:ascii="Times New Roman" w:hAnsi="Times New Roman" w:cs="Times New Roman"/>
          <w:sz w:val="24"/>
          <w:szCs w:val="24"/>
        </w:rPr>
        <w:t>этап</w:t>
      </w:r>
      <w:proofErr w:type="spellEnd"/>
      <w:r w:rsidRPr="008D7EC3">
        <w:rPr>
          <w:rFonts w:ascii="Times New Roman" w:hAnsi="Times New Roman" w:cs="Times New Roman"/>
          <w:sz w:val="24"/>
          <w:szCs w:val="24"/>
        </w:rPr>
        <w:t>.</w:t>
      </w:r>
    </w:p>
    <w:p w:rsidR="000F7FAF" w:rsidRPr="008D7EC3" w:rsidRDefault="000F7FAF" w:rsidP="000F7FAF">
      <w:pPr>
        <w:ind w:firstLine="76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7EC3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D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EC3">
        <w:rPr>
          <w:rFonts w:ascii="Times New Roman" w:hAnsi="Times New Roman" w:cs="Times New Roman"/>
          <w:sz w:val="24"/>
          <w:szCs w:val="24"/>
        </w:rPr>
        <w:t>данном</w:t>
      </w:r>
      <w:proofErr w:type="spellEnd"/>
      <w:r w:rsidRPr="008D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EC3">
        <w:rPr>
          <w:rFonts w:ascii="Times New Roman" w:hAnsi="Times New Roman" w:cs="Times New Roman"/>
          <w:sz w:val="24"/>
          <w:szCs w:val="24"/>
        </w:rPr>
        <w:t>этапе</w:t>
      </w:r>
      <w:proofErr w:type="spellEnd"/>
      <w:r w:rsidRPr="008D7E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7EC3">
        <w:rPr>
          <w:rFonts w:ascii="Times New Roman" w:hAnsi="Times New Roman" w:cs="Times New Roman"/>
          <w:sz w:val="24"/>
          <w:szCs w:val="24"/>
        </w:rPr>
        <w:t>проводится</w:t>
      </w:r>
      <w:proofErr w:type="spellEnd"/>
      <w:r w:rsidRPr="008D7EC3">
        <w:rPr>
          <w:rFonts w:ascii="Times New Roman" w:hAnsi="Times New Roman" w:cs="Times New Roman"/>
          <w:sz w:val="24"/>
          <w:szCs w:val="24"/>
        </w:rPr>
        <w:t>:</w:t>
      </w:r>
    </w:p>
    <w:p w:rsidR="000F7FAF" w:rsidRPr="008D7EC3" w:rsidRDefault="000F7FAF" w:rsidP="000F7FAF">
      <w:pPr>
        <w:pStyle w:val="ListParagraph"/>
        <w:numPr>
          <w:ilvl w:val="0"/>
          <w:numId w:val="5"/>
        </w:numPr>
        <w:ind w:left="0" w:firstLine="765"/>
        <w:jc w:val="both"/>
      </w:pPr>
      <w:r w:rsidRPr="008D7EC3">
        <w:t xml:space="preserve">Инвентаризация всех имеющихся в наличии </w:t>
      </w:r>
      <w:proofErr w:type="spellStart"/>
      <w:r w:rsidRPr="008D7EC3">
        <w:t>внеоборотных</w:t>
      </w:r>
      <w:proofErr w:type="spellEnd"/>
      <w:r w:rsidRPr="008D7EC3">
        <w:t xml:space="preserve"> активов </w:t>
      </w:r>
      <w:r>
        <w:rPr>
          <w:bCs/>
        </w:rPr>
        <w:t>Общества</w:t>
      </w:r>
      <w:r w:rsidRPr="008D7EC3">
        <w:t>, а также активов, переданных в доверительное управление, или права на которые удостоверены паями паевых инвестиционных фондов.</w:t>
      </w:r>
    </w:p>
    <w:p w:rsidR="000F7FAF" w:rsidRPr="008D7EC3" w:rsidRDefault="000F7FAF" w:rsidP="000F7FAF">
      <w:pPr>
        <w:ind w:firstLine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При инвентаризации выявляется фактическое наличие активов, которое сопоставляется с данными регистров бухгалтерского учета.</w:t>
      </w:r>
    </w:p>
    <w:p w:rsidR="000F7FAF" w:rsidRPr="008D7EC3" w:rsidRDefault="000F7FAF" w:rsidP="000F7FAF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Объединение активов в Е2У (при необходимости) и формирование Реестра Е2У в отношении всех инвентаризируемых активов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7FAF" w:rsidRPr="008D7EC3" w:rsidRDefault="000F7FAF" w:rsidP="000F7FAF">
      <w:pPr>
        <w:pStyle w:val="ListParagraph"/>
        <w:numPr>
          <w:ilvl w:val="0"/>
          <w:numId w:val="3"/>
        </w:numPr>
        <w:tabs>
          <w:tab w:val="left" w:pos="0"/>
        </w:tabs>
      </w:pPr>
      <w:r w:rsidRPr="008D7EC3">
        <w:t>Ведение Реестра Е2У.</w:t>
      </w:r>
    </w:p>
    <w:p w:rsidR="000F7FAF" w:rsidRPr="008D7EC3" w:rsidRDefault="000F7FAF" w:rsidP="000F7FAF">
      <w:pPr>
        <w:ind w:firstLine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Менеджментом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должно быть обеспечено постоянное ведение Реестра Е2У. В последующем каждый принятый на баланс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актив должен быть внесен в Реестр Е2У и закреплен в управленческом учете за ранее определенным (вновь созданным) Е2У не позднее последнего рабочего дня квартала, следующего за кварталом, в котором актив был принят на баланс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7FAF" w:rsidRPr="008D7EC3" w:rsidRDefault="000F7FAF" w:rsidP="000F7FAF">
      <w:pPr>
        <w:numPr>
          <w:ilvl w:val="0"/>
          <w:numId w:val="4"/>
        </w:numPr>
        <w:tabs>
          <w:tab w:val="left" w:pos="851"/>
        </w:tabs>
        <w:spacing w:after="0" w:line="240" w:lineRule="auto"/>
        <w:ind w:firstLine="765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Основной этап (этап определения профильности Е2У).</w:t>
      </w:r>
    </w:p>
    <w:p w:rsidR="000F7FAF" w:rsidRPr="008D7EC3" w:rsidRDefault="000F7FAF" w:rsidP="000F7FAF">
      <w:pPr>
        <w:ind w:firstLine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На данном этапе проводится исследование каждой Е2У с точки зрения использования Е2У при осуществлении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основных видов деятельности или влияния на достижение целей и задач, определенных в Стратегии / ДПР с учетом критериев определения профильности Е2У, приведенных в приложении №</w:t>
      </w:r>
      <w:r w:rsidRPr="008D7EC3">
        <w:rPr>
          <w:rFonts w:ascii="Times New Roman" w:hAnsi="Times New Roman" w:cs="Times New Roman"/>
          <w:sz w:val="24"/>
          <w:szCs w:val="24"/>
        </w:rPr>
        <w:t> 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1 к настоящей программе (далее – Приложение № 1).</w:t>
      </w:r>
    </w:p>
    <w:p w:rsidR="000F7FAF" w:rsidRPr="008D7EC3" w:rsidRDefault="000F7FAF" w:rsidP="000F7FAF">
      <w:pPr>
        <w:tabs>
          <w:tab w:val="left" w:pos="0"/>
        </w:tabs>
        <w:ind w:firstLine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В случае если Е2У используется при осуществлении основных видов деятельности, она относится к профильным активам.</w:t>
      </w:r>
    </w:p>
    <w:p w:rsidR="000F7FAF" w:rsidRPr="008D7EC3" w:rsidRDefault="000F7FAF" w:rsidP="000F7FAF">
      <w:pPr>
        <w:ind w:firstLine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Если Е2У не используется при осуществлении основных видов деятельности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, ее отнесение к профильным (либо непрофильным) осуществляется по нижеследующему алгоритму.</w:t>
      </w:r>
    </w:p>
    <w:p w:rsidR="000F7FAF" w:rsidRPr="008D7EC3" w:rsidRDefault="000F7FAF" w:rsidP="000F7FAF">
      <w:pPr>
        <w:ind w:firstLine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  <w:t>Необходимо определить степень влияния факторов, представленных в Приложении № 1, на каждую Е2У включенную в Реестр Е2У, путем выбора ответов (да – фактор оказывает влияние / нет – фактор не влияет).</w:t>
      </w:r>
    </w:p>
    <w:p w:rsidR="000F7FAF" w:rsidRPr="008D7EC3" w:rsidRDefault="000F7FAF" w:rsidP="000F7FAF">
      <w:pPr>
        <w:ind w:firstLine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  <w:t>По итогам анализа степени влияния факторов на Е2У, необходимо сопоставить получившийся результат ответов с целевыми ответами для определения профильного актива, приведенными в Приложении № 1.</w:t>
      </w:r>
    </w:p>
    <w:p w:rsidR="000F7FAF" w:rsidRPr="008D7EC3" w:rsidRDefault="000F7FAF" w:rsidP="000F7FAF">
      <w:pPr>
        <w:ind w:firstLine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В случае если полученные результаты ответов совпадают с целевыми ответами, то за каждый ответ присваивается соответствующий показатель (в процентах), при несовпадении – 0.</w:t>
      </w:r>
    </w:p>
    <w:p w:rsidR="000F7FAF" w:rsidRPr="008D7EC3" w:rsidRDefault="000F7FAF" w:rsidP="000F7FAF">
      <w:pPr>
        <w:ind w:firstLine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3)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  <w:t>Показатели (в процентах) полученные за каждый ответ, суммируются.</w:t>
      </w:r>
    </w:p>
    <w:p w:rsidR="000F7FAF" w:rsidRPr="008D7EC3" w:rsidRDefault="000F7FAF" w:rsidP="000F7FAF">
      <w:pPr>
        <w:ind w:firstLine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В случае если суммарный результат составляет 50 процентов и более, то Е2У – профильная; если менее 50 процентов – непрофильная.</w:t>
      </w:r>
    </w:p>
    <w:p w:rsidR="000F7FAF" w:rsidRPr="008D7EC3" w:rsidRDefault="000F7FAF" w:rsidP="000F7FAF">
      <w:pPr>
        <w:ind w:firstLine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Е2У, определенная как непрофильная, подлежит включению в РНА частично или комплексно.</w:t>
      </w:r>
    </w:p>
    <w:p w:rsidR="000F7FAF" w:rsidRPr="008D7EC3" w:rsidRDefault="000F7FAF" w:rsidP="000F7FAF">
      <w:pPr>
        <w:numPr>
          <w:ilvl w:val="0"/>
          <w:numId w:val="6"/>
        </w:numPr>
        <w:tabs>
          <w:tab w:val="left" w:pos="0"/>
        </w:tabs>
        <w:spacing w:after="0" w:line="240" w:lineRule="auto"/>
        <w:ind w:firstLine="76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Этап определения профильности активов, включенных в состав профильной Е2У.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Данный этап предполагает определение целесообразности сохранения каждого из активов, входящего в состав Е2У, в отношении которой принято решение о сохранении в собственности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(профильной Е2У), путем определения степени влияния (значимости) актива в составе Е2У по нижеследующему алгоритму.</w:t>
      </w:r>
    </w:p>
    <w:p w:rsidR="000F7FAF" w:rsidRPr="008D7EC3" w:rsidRDefault="000F7FAF" w:rsidP="000F7FAF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  <w:t>Необходимо определить степень значимости актива, включенного в состав профильного Е2У, исходя из критериев оценки, приведенных в приложении № 2 к настоящей программе (далее – Приложение № 2), путем выбора ответов (да – фактор оказывает влияние / нет – фактор не влияет).</w:t>
      </w:r>
    </w:p>
    <w:p w:rsidR="000F7FAF" w:rsidRPr="008D7EC3" w:rsidRDefault="000F7FAF" w:rsidP="000F7FAF">
      <w:pPr>
        <w:pStyle w:val="ListParagraph"/>
        <w:numPr>
          <w:ilvl w:val="0"/>
          <w:numId w:val="5"/>
        </w:numPr>
        <w:tabs>
          <w:tab w:val="left" w:pos="0"/>
        </w:tabs>
        <w:ind w:left="0" w:firstLine="709"/>
        <w:jc w:val="both"/>
      </w:pPr>
      <w:r w:rsidRPr="008D7EC3">
        <w:t>По результатам исследования, в случае если хотя бы 1 ответ совпадает с целевым ответом, приведенным в Приложении № 2, то актив целесообразно сохранить в составе Е2У.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В случае если ни один из ответов не совпадает с целевым ответом, приведенным в Приложении № 2, актив подлежит исключению из состава профильного Е2У и самостоятельной оценке его профильности в соответствии с критериями, приведенными в Приложении № 1.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Анализ по выявлению непрофильных активов (определению профильности </w:t>
      </w:r>
      <w:proofErr w:type="spellStart"/>
      <w:r w:rsidRPr="008D7EC3">
        <w:rPr>
          <w:rFonts w:ascii="Times New Roman" w:hAnsi="Times New Roman" w:cs="Times New Roman"/>
          <w:sz w:val="24"/>
          <w:szCs w:val="24"/>
          <w:lang w:val="ru-RU"/>
        </w:rPr>
        <w:t>внеоборотных</w:t>
      </w:r>
      <w:proofErr w:type="spellEnd"/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активов) менеджменту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следует проводить на регулярной (не реже одного раза в календарный год) основе и</w:t>
      </w:r>
      <w:r w:rsidRPr="008D7EC3">
        <w:rPr>
          <w:rFonts w:ascii="Times New Roman" w:hAnsi="Times New Roman" w:cs="Times New Roman"/>
          <w:strike/>
          <w:sz w:val="24"/>
          <w:szCs w:val="24"/>
          <w:lang w:val="ru-RU"/>
        </w:rPr>
        <w:t xml:space="preserve"> 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представлять с исчерпывающими обоснованиями на рассмотрение наблюдательному совету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trike/>
          <w:sz w:val="24"/>
          <w:szCs w:val="24"/>
          <w:lang w:val="ru-RU"/>
        </w:rPr>
      </w:pPr>
    </w:p>
    <w:p w:rsidR="000F7FAF" w:rsidRPr="006F53A5" w:rsidRDefault="000F7FAF" w:rsidP="000F7FAF">
      <w:pPr>
        <w:ind w:firstLine="76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b/>
          <w:sz w:val="24"/>
          <w:szCs w:val="24"/>
          <w:lang w:val="ru-RU"/>
        </w:rPr>
        <w:t>4.</w:t>
      </w:r>
      <w:r w:rsidRPr="008D7EC3">
        <w:rPr>
          <w:rFonts w:ascii="Times New Roman" w:hAnsi="Times New Roman" w:cs="Times New Roman"/>
          <w:b/>
          <w:sz w:val="24"/>
          <w:szCs w:val="24"/>
          <w:lang w:val="ru-RU"/>
        </w:rPr>
        <w:tab/>
        <w:t>Реестр непрофильных активов.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Проект РНА разрабатывается менеджментом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анализа активов, 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в случае наличия 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Общества </w:t>
      </w:r>
      <w:r>
        <w:rPr>
          <w:rFonts w:ascii="Times New Roman" w:hAnsi="Times New Roman" w:cs="Times New Roman"/>
          <w:sz w:val="24"/>
          <w:szCs w:val="24"/>
          <w:lang w:val="ru-RU"/>
        </w:rPr>
        <w:t>непрофильных активов.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Недопустимо не включать в проект РНА актив, отвечающий признакам непрофильного.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Проект РНА в части непрофильных активов, подлежащих отчуждению, разрабатывается сроком не более чем на 3 года (в течение указанного срока должно быть предусмотрено совершение сделок (действий) по отчуждению непрофильных активов с учетом необходимости разумной минимизации продолжительности срока владения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Общества 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соответствующими активами).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По итогам рассмотрения перечня всех непрофильных активов и определения в отношении каждого из них способа распоряжения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наблюдательный совет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утверждает РНА, который должен содержать в себе 2 раздела: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1)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  <w:t>Перечень непрофильных активов, в отно</w:t>
      </w:r>
      <w:r>
        <w:rPr>
          <w:rFonts w:ascii="Times New Roman" w:hAnsi="Times New Roman" w:cs="Times New Roman"/>
          <w:sz w:val="24"/>
          <w:szCs w:val="24"/>
          <w:lang w:val="ru-RU"/>
        </w:rPr>
        <w:t>шении которых наблюдательный совет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определил необходимость их реализации.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2)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  <w:t>Перечень непрофильных активов, в отно</w:t>
      </w:r>
      <w:r>
        <w:rPr>
          <w:rFonts w:ascii="Times New Roman" w:hAnsi="Times New Roman" w:cs="Times New Roman"/>
          <w:sz w:val="24"/>
          <w:szCs w:val="24"/>
          <w:lang w:val="ru-RU"/>
        </w:rPr>
        <w:t>шении которых наблюдательный совет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принял решение об их сохранении в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Обществе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(в случае если указанная категория непрофильных активов была выявлена менеджментом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Каждый из перечисленных разделов РНА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должен содержать в обязательном порядке следующую информацию по каждому непрофильному активу: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  <w:t>наименование непрофильного актива;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  <w:t>средства идентификации непрофильного актива;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  <w:t>вид деятельности, к которой относится использование непрофильного актива;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  <w:t>остаточная (балансовая) стоимость непрофильного актива по состоянию на последнюю отчетную дату;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  <w:t>планируемый способ реализации/сохранения непрофильного актива;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  <w:t>описание и сведения о правоустанавливающих документах и обременениях.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первый раз на основании настоящей программы вопрос об утверждении (актуализации/утверждении в новой редакции) РНА менеджмент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выносит на рассмотрение наблюдательным советом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совместно с вопросом об утверждении настоящей программы.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В случае отсутствия непрофильных активов менеджмент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ежегодно выносит на рассмотрение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наблюдательным советом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вопрос о нецелесообразности утверждения РНА в связи с отсутствием непрофильных активов с таким расчетом, чтобы соответствующий вопрос был рассмотрен (принято решение) не позднее последнего рабочего дня соответствующего календарного года.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При этом позиция менеджмента об отсутствии непрофильных активов у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должна быть аргументирована в пояснительной записке к материалам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наблюдательного совета 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указанием на результаты </w:t>
      </w:r>
      <w:r>
        <w:rPr>
          <w:rFonts w:ascii="Times New Roman" w:hAnsi="Times New Roman" w:cs="Times New Roman"/>
          <w:sz w:val="24"/>
          <w:szCs w:val="24"/>
          <w:lang w:val="ru-RU"/>
        </w:rPr>
        <w:t>вышеуказанного анализа активов.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Недопустимо не выносить на рассмотрение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наблюдательным советом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вопрос о целесообразности/ нецелесообразности утверждения РНА лишь на основании позиции менеджмента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об отсутствии непрофильных активов.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РНА подлежит актуализации/корректировке/утверждению (в </w:t>
      </w:r>
      <w:proofErr w:type="spellStart"/>
      <w:r w:rsidRPr="008D7EC3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. в новой редакции) на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наблюдательном совете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в случае выявления менеджментом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новых непрофильных активов или выявления менеджментом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целесообразности отчуждения тех непрофильных активов, в отношении которых РНА предусмотрено действие по сохранению, или по итогам завершения срока выполнения действующей программы (Плана мероприятий) – если остаются непрофильные активы, подлежащие реализации (отчуждению).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В таких случаях менеджмент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выносит на рассмотрение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наблюдательным советом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вопрос об  актуализации/корректировке/утверждении РНА (в </w:t>
      </w:r>
      <w:proofErr w:type="spellStart"/>
      <w:r w:rsidRPr="008D7EC3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8D7EC3">
        <w:rPr>
          <w:rFonts w:ascii="Times New Roman" w:hAnsi="Times New Roman" w:cs="Times New Roman"/>
          <w:sz w:val="24"/>
          <w:szCs w:val="24"/>
          <w:lang w:val="ru-RU"/>
        </w:rPr>
        <w:t>. в новой редакции)</w:t>
      </w:r>
      <w:r w:rsidRPr="008D7EC3" w:rsidDel="00E62F2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с таким расчетом, чтобы он был рассмотрен (принято решение) на ближайшем заседании соответствующего органа управления, но в любом случае не позднее 2-х месяцев с даты выявления новых непрофильных активов или выявления целесообразности отчуждения непрофильных активов или даты завершения срока выполнения Пл</w:t>
      </w:r>
      <w:r>
        <w:rPr>
          <w:rFonts w:ascii="Times New Roman" w:hAnsi="Times New Roman" w:cs="Times New Roman"/>
          <w:sz w:val="24"/>
          <w:szCs w:val="24"/>
          <w:lang w:val="ru-RU"/>
        </w:rPr>
        <w:t>ана мероприятий соответственно.</w:t>
      </w:r>
    </w:p>
    <w:p w:rsidR="000F7FAF" w:rsidRPr="00C84E69" w:rsidRDefault="000F7FAF" w:rsidP="000F7FAF">
      <w:pPr>
        <w:ind w:firstLine="76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b/>
          <w:sz w:val="24"/>
          <w:szCs w:val="24"/>
          <w:lang w:val="ru-RU"/>
        </w:rPr>
        <w:t>5.</w:t>
      </w:r>
      <w:r w:rsidRPr="008D7EC3">
        <w:rPr>
          <w:rFonts w:ascii="Times New Roman" w:hAnsi="Times New Roman" w:cs="Times New Roman"/>
          <w:b/>
          <w:sz w:val="24"/>
          <w:szCs w:val="24"/>
          <w:lang w:val="ru-RU"/>
        </w:rPr>
        <w:tab/>
        <w:t>План мероприятий по р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еализации непрофильных активов.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Вместе с разработкой проекта РНА (проекта актуализации/ корректировки/новой редакции РНА) менеджменту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, при выявлении непрофильных активов подлежащих реализации (отчуждению), надлежит разрабатывать проект Плана мероприятий сроком действия не более чем 3 года с поквартальной детализацией (до даты конечной реализации активов).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В Плане мероприятий должны содержаться экономическое обоснование реализации (отчуждения) всех включенных в проект РНА непрофильных активов, подлежащих реализации (отчуждению), с расчетными данными об ожидаемом экономическом эффекте от реализации (отчуждения), указание на возможные прочие выгоды и положительные влияния для хода 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реализации Стратегии / ДПР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(при наличии таких документов у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) от реализации непрофильных активов, а также матрица возможных рисков, с оценкой степени критичности, и </w:t>
      </w:r>
      <w:proofErr w:type="spellStart"/>
      <w:r w:rsidRPr="008D7EC3">
        <w:rPr>
          <w:rFonts w:ascii="Times New Roman" w:hAnsi="Times New Roman" w:cs="Times New Roman"/>
          <w:sz w:val="24"/>
          <w:szCs w:val="24"/>
          <w:lang w:val="ru-RU"/>
        </w:rPr>
        <w:t>минимизирующих</w:t>
      </w:r>
      <w:proofErr w:type="spellEnd"/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риски факторов, возникающих для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в результате реализации непрофильных активов.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В первый раз на основании настоящей программы менеджмент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выносит на рассмотрение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наблюдательным советом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вопрос об утверждении Плана мероприятий совместно с вопросом об утверждении РНА (в первый раз на основании настоящей программы).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План мероприятий подлежит обязательной актуализации/корректировке /утверждению (в </w:t>
      </w:r>
      <w:proofErr w:type="spellStart"/>
      <w:r w:rsidRPr="008D7EC3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8D7EC3">
        <w:rPr>
          <w:rFonts w:ascii="Times New Roman" w:hAnsi="Times New Roman" w:cs="Times New Roman"/>
          <w:sz w:val="24"/>
          <w:szCs w:val="24"/>
          <w:lang w:val="ru-RU"/>
        </w:rPr>
        <w:t>. в новой редакции) в случае корректировки РНА, а также ежегодно вне зависимости от необходимости корректировки РНА.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Менеджмент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выносит на рассмотрение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наблюдательным советом 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вопрос о ежегодной актуализации/ корректировке/утверждению (в </w:t>
      </w:r>
      <w:proofErr w:type="spellStart"/>
      <w:r w:rsidRPr="008D7EC3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8D7EC3">
        <w:rPr>
          <w:rFonts w:ascii="Times New Roman" w:hAnsi="Times New Roman" w:cs="Times New Roman"/>
          <w:sz w:val="24"/>
          <w:szCs w:val="24"/>
          <w:lang w:val="ru-RU"/>
        </w:rPr>
        <w:t>. в новой редакции) Плана мероприятий с таким расчетом, чтобы соответствующий вопрос был рассмотрен (принято решение) не позднее последнего рабочего дня соответствующего календарного года.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Проект Плана мероприятий (в том числе для целей актуализации/ корректировки/утверждения (в </w:t>
      </w:r>
      <w:proofErr w:type="spellStart"/>
      <w:r w:rsidRPr="008D7EC3">
        <w:rPr>
          <w:rFonts w:ascii="Times New Roman" w:hAnsi="Times New Roman" w:cs="Times New Roman"/>
          <w:sz w:val="24"/>
          <w:szCs w:val="24"/>
          <w:lang w:val="ru-RU"/>
        </w:rPr>
        <w:t>т.ч</w:t>
      </w:r>
      <w:proofErr w:type="spellEnd"/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. в новой редакции)) должен содержать экономические данные (значения) актуального бизнес-плана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Менеджменту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надлежит осуществлять ежеквартальную выверку актуальности запланированных экономических ожиданий от продаж, подлежащих реализации непрофильных активов с учетом рыночной конъюнктуры.</w:t>
      </w:r>
    </w:p>
    <w:p w:rsidR="000F7FAF" w:rsidRPr="008D7EC3" w:rsidRDefault="000F7FAF" w:rsidP="000F7FAF">
      <w:pPr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Кроме того, при наличии в РНА активов, в отношении которых предусмотрены действия по сохранению, менеджменту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надлежит осуществлять ежеквартальную оценку целесообразности продолжения сохранения таких активов. При выявлении цел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есообразности отчуждения таких 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непрофильных активов, менеджмент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выносит на рассмотрение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наблюдательным советом соответствующий вопрос.</w:t>
      </w:r>
    </w:p>
    <w:p w:rsidR="000F7FAF" w:rsidRPr="008D7EC3" w:rsidRDefault="000F7FAF" w:rsidP="000F7FAF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7FAF" w:rsidRPr="006F53A5" w:rsidRDefault="000F7FAF" w:rsidP="000F7FAF">
      <w:pPr>
        <w:ind w:firstLine="765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b/>
          <w:sz w:val="24"/>
          <w:szCs w:val="24"/>
          <w:lang w:val="ru-RU"/>
        </w:rPr>
        <w:t>6.</w:t>
      </w:r>
      <w:r w:rsidRPr="008D7EC3">
        <w:rPr>
          <w:rFonts w:ascii="Times New Roman" w:hAnsi="Times New Roman" w:cs="Times New Roman"/>
          <w:b/>
          <w:sz w:val="24"/>
          <w:szCs w:val="24"/>
          <w:lang w:val="ru-RU"/>
        </w:rPr>
        <w:tab/>
        <w:t>Порядок оценки непрофильных активов.</w:t>
      </w:r>
    </w:p>
    <w:p w:rsidR="000F7FAF" w:rsidRPr="008D7EC3" w:rsidRDefault="000F7FAF" w:rsidP="000F7FAF">
      <w:pPr>
        <w:widowControl w:val="0"/>
        <w:overflowPunct w:val="0"/>
        <w:autoSpaceDE w:val="0"/>
        <w:autoSpaceDN w:val="0"/>
        <w:adjustRightInd w:val="0"/>
        <w:spacing w:line="256" w:lineRule="auto"/>
        <w:ind w:right="2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Начальная цена или цена продажи непрофильного актива определяется на основании отчета независимого оценщика, составленного по стандартам в соответствии с требованиями законодательства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Грузии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7FAF" w:rsidRPr="008D7EC3" w:rsidRDefault="000F7FAF" w:rsidP="000F7FA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Определение начальной цены или цены продажи непрофильного актива, производится на основании отчета </w:t>
      </w:r>
      <w:r>
        <w:rPr>
          <w:rFonts w:ascii="Times New Roman" w:hAnsi="Times New Roman" w:cs="Times New Roman"/>
          <w:sz w:val="24"/>
          <w:szCs w:val="24"/>
          <w:lang w:val="ru-RU"/>
        </w:rPr>
        <w:t>независимого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оценщика, привлекаемого на конкурентной основе.</w:t>
      </w:r>
    </w:p>
    <w:p w:rsidR="000F7FAF" w:rsidRPr="008D7EC3" w:rsidRDefault="000F7FAF" w:rsidP="000F7FA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Привлечение независимого оценщика осуществляется в соответствии внутренним нормативным документом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0F7FAF" w:rsidRPr="008D7EC3" w:rsidRDefault="000F7FAF" w:rsidP="000F7FAF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отдельным решением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наблюдательного совета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допускается 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реализация непрофильного актива по цене ниже балансовой стоимости.</w:t>
      </w:r>
    </w:p>
    <w:p w:rsidR="000F7FAF" w:rsidRPr="006F53A5" w:rsidRDefault="000F7FAF" w:rsidP="000F7F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b/>
          <w:sz w:val="24"/>
          <w:szCs w:val="24"/>
          <w:lang w:val="ru-RU"/>
        </w:rPr>
        <w:t xml:space="preserve">7. </w:t>
      </w:r>
      <w:r w:rsidRPr="008D7EC3">
        <w:rPr>
          <w:rFonts w:ascii="Times New Roman" w:hAnsi="Times New Roman" w:cs="Times New Roman"/>
          <w:b/>
          <w:sz w:val="24"/>
          <w:szCs w:val="24"/>
          <w:lang w:val="ru-RU"/>
        </w:rPr>
        <w:tab/>
        <w:t>Способы и порядок реализации (отчуждения) непрофильных активов.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Реализация (отчу</w:t>
      </w:r>
      <w:r>
        <w:rPr>
          <w:rFonts w:ascii="Times New Roman" w:hAnsi="Times New Roman" w:cs="Times New Roman"/>
          <w:sz w:val="24"/>
          <w:szCs w:val="24"/>
          <w:lang w:val="ru-RU"/>
        </w:rPr>
        <w:t>ждение) – это передача Обществом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прав на непрофильный актив сторонним лицам.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Реализация (отчуждение) непрофильного актива предполагает следующие способы распоряжения им: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а)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  <w:t xml:space="preserve">продажа – возмездное отчуждение непрофильного актива в собственность иного лица полностью или частично, либо доли в праве собственности на непрофильный актив, передача по договору аренды с правом выкупа, а также отчуждение по инвестиционному соглашению (договору), в качестве взноса по договору простого товарищества или внесение непрофильного актива в оплату уставного капитала юридического лица, в котором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Общество 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не является единственным участником при условии, что в результате указанных сделок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приобретает права на актив (активы), являющиеся для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профильными;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8D7EC3">
        <w:rPr>
          <w:rFonts w:ascii="Times New Roman" w:hAnsi="Times New Roman" w:cs="Times New Roman"/>
          <w:sz w:val="24"/>
          <w:szCs w:val="24"/>
          <w:lang w:val="ru-RU"/>
        </w:rPr>
        <w:t>б)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</w:r>
      <w:proofErr w:type="gramEnd"/>
      <w:r w:rsidRPr="008D7EC3">
        <w:rPr>
          <w:rFonts w:ascii="Times New Roman" w:hAnsi="Times New Roman" w:cs="Times New Roman"/>
          <w:sz w:val="24"/>
          <w:szCs w:val="24"/>
          <w:lang w:val="ru-RU"/>
        </w:rPr>
        <w:t>безвозмездная передача (в том числе, дарение) – безвозмездное отчуждение непрофильного актива в собственность</w:t>
      </w:r>
      <w:r w:rsidRPr="00ED74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Государства Грузии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, субъектов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Грузии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, муниципальных образований, в случае если передача такого актива обеспечивает реализацию полномочий органов государственной власти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Грузии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, органов государственной власти субъектов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Грузии 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или органов местного самоуправления;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ab/>
        <w:t>ликвидация – разукомплектование, списание, уничтожение и т.д. непрофильного актива, в том числе с возможностью последующей продажи отдельных составляющих в случаях, если имущество непригодно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 либо выбыло из владения, пользования и распоряжения вследствие гибели или уничтожения, в том числе помимо воли владельца, а также вследствие невозможности установления его местонахождения.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Основными принципами продажи непрофильных активов являются: публичность, открытость, прозрачность, </w:t>
      </w:r>
      <w:proofErr w:type="spellStart"/>
      <w:r w:rsidRPr="008D7EC3">
        <w:rPr>
          <w:rFonts w:ascii="Times New Roman" w:hAnsi="Times New Roman" w:cs="Times New Roman"/>
          <w:sz w:val="24"/>
          <w:szCs w:val="24"/>
          <w:lang w:val="ru-RU"/>
        </w:rPr>
        <w:t>конкурентность</w:t>
      </w:r>
      <w:proofErr w:type="spellEnd"/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D7EC3">
        <w:rPr>
          <w:rFonts w:ascii="Times New Roman" w:hAnsi="Times New Roman" w:cs="Times New Roman"/>
          <w:sz w:val="24"/>
          <w:szCs w:val="24"/>
          <w:lang w:val="ru-RU"/>
        </w:rPr>
        <w:t>возмездность</w:t>
      </w:r>
      <w:proofErr w:type="spellEnd"/>
      <w:r w:rsidRPr="008D7EC3">
        <w:rPr>
          <w:rFonts w:ascii="Times New Roman" w:hAnsi="Times New Roman" w:cs="Times New Roman"/>
          <w:sz w:val="24"/>
          <w:szCs w:val="24"/>
          <w:lang w:val="ru-RU"/>
        </w:rPr>
        <w:t>, обоснованность цены продажи.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В целях обеспечения конкурентного характера возмездного отчуждения непрофильных активов, их продажа осуществляется путем проведения конкурентных процедур, если иное не предусмотрено законодательством (например, преимущественное право покупки и прочее).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Видами конкурентных процедур, которые могут проводиться в отношении непрофильных активов, являются: аукцион, запрос предложений, продажа путем публичного предложения, продажа без объявления цены.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Выбор вида, организация и проведения конкурентных процедур и переход от одной процедуры к другой при продаже непрофильных активов осуществляется в соответствии с 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внутренним нормативным документом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в части, не противоречащей настоящей программе.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Допускается продажа непрофильного актива без проведения конкурентных процедур юридическому лицу, 100 % участия в котором (прямо и косвенно) принадлежит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Обществу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и/или иным компаниям Группы «</w:t>
      </w:r>
      <w:proofErr w:type="spellStart"/>
      <w:r w:rsidRPr="008D7EC3">
        <w:rPr>
          <w:rFonts w:ascii="Times New Roman" w:hAnsi="Times New Roman" w:cs="Times New Roman"/>
          <w:sz w:val="24"/>
          <w:szCs w:val="24"/>
          <w:lang w:val="ru-RU"/>
        </w:rPr>
        <w:t>Интер</w:t>
      </w:r>
      <w:proofErr w:type="spellEnd"/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РАО».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В отдельных исключительных случаях допускается продажа без проведения конкурентных процедур при 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личии соответствующего решения наблюдательного совета Общества 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>в том числе, путем указания на продажу конкретного непрофильного актива без конкурент</w:t>
      </w:r>
      <w:r>
        <w:rPr>
          <w:rFonts w:ascii="Times New Roman" w:hAnsi="Times New Roman" w:cs="Times New Roman"/>
          <w:sz w:val="24"/>
          <w:szCs w:val="24"/>
          <w:lang w:val="ru-RU"/>
        </w:rPr>
        <w:t>ных процедур в утвержденном РНА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и надлежащего обоснования.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>В случае если непрофильный актив является ограниченным в обороте, его продажа осуществляется с участием ограниченного круга потенциальных покупателей. Выбор ограниченного круга потенциальных покупателей осуществляется с учетом установленных ограничений в соответствии с законодательством.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Если продажа непрофильного актива путем публичного предложения не состоялась и нет оснований для проведения повторной продажи путем публичного предложения, решение о возможности продажи без объявления цены должно быть дополнительно предварительно принято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наблюдательным советом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Общества. Наблюдательный совет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8D7EC3">
        <w:rPr>
          <w:rFonts w:ascii="Times New Roman" w:hAnsi="Times New Roman" w:cs="Times New Roman"/>
          <w:sz w:val="24"/>
          <w:szCs w:val="24"/>
          <w:lang w:val="ru-RU"/>
        </w:rPr>
        <w:t xml:space="preserve"> при этом вправе установить дополнительные условия продажи, в том числе цену.</w:t>
      </w:r>
    </w:p>
    <w:p w:rsidR="000F7FAF" w:rsidRPr="00CC063C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F6E">
        <w:rPr>
          <w:rFonts w:ascii="Times New Roman" w:hAnsi="Times New Roman" w:cs="Times New Roman"/>
          <w:sz w:val="24"/>
          <w:szCs w:val="24"/>
          <w:lang w:val="ru-RU"/>
        </w:rPr>
        <w:t>Безвозмездная передача (в том числе, дарение) непрофильных активов в собственность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Государства Грузии</w:t>
      </w:r>
      <w:r w:rsidRPr="00B27F6E">
        <w:rPr>
          <w:rFonts w:ascii="Times New Roman" w:hAnsi="Times New Roman" w:cs="Times New Roman"/>
          <w:sz w:val="24"/>
          <w:szCs w:val="24"/>
          <w:lang w:val="ru-RU"/>
        </w:rPr>
        <w:t>, субъектов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Грузии</w:t>
      </w:r>
      <w:r w:rsidRPr="00B27F6E">
        <w:rPr>
          <w:rFonts w:ascii="Times New Roman" w:hAnsi="Times New Roman" w:cs="Times New Roman"/>
          <w:sz w:val="24"/>
          <w:szCs w:val="24"/>
          <w:lang w:val="ru-RU"/>
        </w:rPr>
        <w:t xml:space="preserve">, муниципальных образований может быть осуществлена при наличии письменного согласия соответствующего публично-правового образования и должна быть предварительно одобрена отдельным решением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наблюдательного совета</w:t>
      </w:r>
      <w:r w:rsidRPr="00B27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B27F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7FAF" w:rsidRPr="00CC063C" w:rsidRDefault="000F7FAF" w:rsidP="000F7FAF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27F6E">
        <w:rPr>
          <w:rFonts w:ascii="Times New Roman" w:hAnsi="Times New Roman" w:cs="Times New Roman"/>
          <w:b/>
          <w:sz w:val="24"/>
          <w:szCs w:val="24"/>
          <w:lang w:val="ru-RU"/>
        </w:rPr>
        <w:t>8.</w:t>
      </w:r>
      <w:r w:rsidRPr="00B27F6E">
        <w:rPr>
          <w:rFonts w:ascii="Times New Roman" w:hAnsi="Times New Roman" w:cs="Times New Roman"/>
          <w:b/>
          <w:sz w:val="24"/>
          <w:szCs w:val="24"/>
          <w:lang w:val="ru-RU"/>
        </w:rPr>
        <w:tab/>
        <w:t>Информационное обеспечение реализации непрофильных активов.</w:t>
      </w:r>
    </w:p>
    <w:p w:rsidR="000F7FAF" w:rsidRPr="00CC063C" w:rsidRDefault="000F7FAF" w:rsidP="000F7FAF">
      <w:pPr>
        <w:widowControl w:val="0"/>
        <w:overflowPunct w:val="0"/>
        <w:autoSpaceDE w:val="0"/>
        <w:autoSpaceDN w:val="0"/>
        <w:adjustRightInd w:val="0"/>
        <w:spacing w:line="261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F6E">
        <w:rPr>
          <w:rFonts w:ascii="Times New Roman" w:hAnsi="Times New Roman" w:cs="Times New Roman"/>
          <w:sz w:val="24"/>
          <w:szCs w:val="24"/>
          <w:lang w:val="ru-RU"/>
        </w:rPr>
        <w:t>Утвержденные наблюд</w:t>
      </w:r>
      <w:r>
        <w:rPr>
          <w:rFonts w:ascii="Times New Roman" w:hAnsi="Times New Roman" w:cs="Times New Roman"/>
          <w:sz w:val="24"/>
          <w:szCs w:val="24"/>
          <w:lang w:val="ru-RU"/>
        </w:rPr>
        <w:t>ательным советом Общества</w:t>
      </w:r>
      <w:r w:rsidRPr="00B27F6E">
        <w:rPr>
          <w:rFonts w:ascii="Times New Roman" w:hAnsi="Times New Roman" w:cs="Times New Roman"/>
          <w:sz w:val="24"/>
          <w:szCs w:val="24"/>
          <w:lang w:val="ru-RU"/>
        </w:rPr>
        <w:t xml:space="preserve"> Программа и РНА подлежат опубликованию в информационно-телекоммуникационной сети «Интернет» на сайте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B27F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7FAF" w:rsidRPr="00CC063C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F6E">
        <w:rPr>
          <w:rFonts w:ascii="Times New Roman" w:hAnsi="Times New Roman" w:cs="Times New Roman"/>
          <w:sz w:val="24"/>
          <w:szCs w:val="24"/>
          <w:lang w:val="ru-RU"/>
        </w:rPr>
        <w:t xml:space="preserve">РНА подлежит обязательной публикации на сайте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 в срок не позднее 5-ти</w:t>
      </w:r>
      <w:r w:rsidRPr="00B27F6E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с даты утверждения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наблюдательным советом</w:t>
      </w:r>
      <w:r w:rsidRPr="00B27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B27F6E">
        <w:rPr>
          <w:rFonts w:ascii="Times New Roman" w:hAnsi="Times New Roman" w:cs="Times New Roman"/>
          <w:sz w:val="24"/>
          <w:szCs w:val="24"/>
          <w:lang w:val="ru-RU"/>
        </w:rPr>
        <w:t xml:space="preserve">. В случае внесения изменений в РНА документ в новой редакции подлежит публикации на сайте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 в срок не позднее 5-ти</w:t>
      </w:r>
      <w:r w:rsidRPr="00B27F6E">
        <w:rPr>
          <w:rFonts w:ascii="Times New Roman" w:hAnsi="Times New Roman" w:cs="Times New Roman"/>
          <w:sz w:val="24"/>
          <w:szCs w:val="24"/>
          <w:lang w:val="ru-RU"/>
        </w:rPr>
        <w:t xml:space="preserve"> рабочих дней с даты утверждения </w:t>
      </w:r>
      <w:r>
        <w:rPr>
          <w:rFonts w:ascii="Times New Roman" w:hAnsi="Times New Roman" w:cs="Times New Roman"/>
          <w:sz w:val="24"/>
          <w:szCs w:val="24"/>
          <w:lang w:val="ru-RU"/>
        </w:rPr>
        <w:t>наблюдательным советом</w:t>
      </w:r>
      <w:r w:rsidRPr="00B27F6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B27F6E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соответствующих изменений.</w:t>
      </w:r>
    </w:p>
    <w:p w:rsidR="000F7FAF" w:rsidRPr="00CC063C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27F6E">
        <w:rPr>
          <w:rFonts w:ascii="Times New Roman" w:hAnsi="Times New Roman" w:cs="Times New Roman"/>
          <w:sz w:val="24"/>
          <w:szCs w:val="24"/>
          <w:lang w:val="ru-RU"/>
        </w:rPr>
        <w:t xml:space="preserve">Мероприятия, направленные на обеспечение свободного доступа лиц, потенциально заинтересованных в приобретении непрофильных активов, осуществляется в соответствии с внутренними нормативными документами </w:t>
      </w:r>
      <w:r>
        <w:rPr>
          <w:rFonts w:ascii="Times New Roman" w:hAnsi="Times New Roman" w:cs="Times New Roman"/>
          <w:sz w:val="24"/>
          <w:szCs w:val="24"/>
          <w:lang w:val="ru-RU"/>
        </w:rPr>
        <w:t>Общества</w:t>
      </w:r>
      <w:r w:rsidRPr="00B27F6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F7FAF" w:rsidRPr="008D7EC3" w:rsidRDefault="000F7FAF" w:rsidP="000F7FA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F7FAF" w:rsidRPr="006F53A5" w:rsidRDefault="000F7FAF" w:rsidP="000F7FAF">
      <w:pPr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B27F6E">
        <w:rPr>
          <w:rFonts w:ascii="Times New Roman" w:hAnsi="Times New Roman" w:cs="Times New Roman"/>
          <w:b/>
          <w:sz w:val="24"/>
          <w:szCs w:val="28"/>
          <w:lang w:val="ru-RU"/>
        </w:rPr>
        <w:lastRenderedPageBreak/>
        <w:t xml:space="preserve">9. Подготовка и представление отчетности о ходе исполнения настоящей программы </w:t>
      </w:r>
      <w:r>
        <w:rPr>
          <w:rFonts w:ascii="Times New Roman" w:hAnsi="Times New Roman" w:cs="Times New Roman"/>
          <w:b/>
          <w:sz w:val="24"/>
          <w:szCs w:val="28"/>
          <w:lang w:val="ru-RU"/>
        </w:rPr>
        <w:t>наблюдательному совету</w:t>
      </w:r>
      <w:r w:rsidRPr="00B27F6E">
        <w:rPr>
          <w:rFonts w:ascii="Times New Roman" w:hAnsi="Times New Roman" w:cs="Times New Roman"/>
          <w:b/>
          <w:sz w:val="24"/>
          <w:szCs w:val="28"/>
          <w:lang w:val="ru-RU"/>
        </w:rPr>
        <w:t xml:space="preserve"> и акционеру</w:t>
      </w:r>
    </w:p>
    <w:p w:rsidR="000F7FAF" w:rsidRPr="00CC063C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27F6E">
        <w:rPr>
          <w:rFonts w:ascii="Times New Roman" w:hAnsi="Times New Roman" w:cs="Times New Roman"/>
          <w:sz w:val="24"/>
          <w:szCs w:val="28"/>
          <w:lang w:val="ru-RU"/>
        </w:rPr>
        <w:t xml:space="preserve">Менеджмент </w:t>
      </w:r>
      <w:r>
        <w:rPr>
          <w:rFonts w:ascii="Times New Roman" w:hAnsi="Times New Roman" w:cs="Times New Roman"/>
          <w:sz w:val="24"/>
          <w:szCs w:val="28"/>
          <w:lang w:val="ru-RU"/>
        </w:rPr>
        <w:t>Общества</w:t>
      </w:r>
      <w:r w:rsidRPr="00B27F6E">
        <w:rPr>
          <w:rFonts w:ascii="Times New Roman" w:hAnsi="Times New Roman" w:cs="Times New Roman"/>
          <w:sz w:val="24"/>
          <w:szCs w:val="28"/>
          <w:lang w:val="ru-RU"/>
        </w:rPr>
        <w:t xml:space="preserve"> на ежеквартальной основе до</w:t>
      </w:r>
      <w:r>
        <w:rPr>
          <w:rFonts w:ascii="Times New Roman" w:hAnsi="Times New Roman" w:cs="Times New Roman"/>
          <w:sz w:val="24"/>
          <w:szCs w:val="28"/>
          <w:lang w:val="ru-RU"/>
        </w:rPr>
        <w:t>лжен отчитываться перед наблюдательным советом</w:t>
      </w:r>
      <w:r w:rsidRPr="00B27F6E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8"/>
          <w:lang w:val="ru-RU"/>
        </w:rPr>
        <w:t>Общества</w:t>
      </w:r>
      <w:r w:rsidRPr="00B27F6E">
        <w:rPr>
          <w:rFonts w:ascii="Times New Roman" w:hAnsi="Times New Roman" w:cs="Times New Roman"/>
          <w:sz w:val="24"/>
          <w:szCs w:val="28"/>
          <w:lang w:val="ru-RU"/>
        </w:rPr>
        <w:t xml:space="preserve"> об исполнении настоящей программы (Плана мероприятий).</w:t>
      </w:r>
    </w:p>
    <w:p w:rsidR="000F7FAF" w:rsidRPr="00CC063C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27F6E">
        <w:rPr>
          <w:rFonts w:ascii="Times New Roman" w:hAnsi="Times New Roman" w:cs="Times New Roman"/>
          <w:sz w:val="24"/>
          <w:szCs w:val="28"/>
          <w:lang w:val="ru-RU"/>
        </w:rPr>
        <w:t xml:space="preserve">Менеджмент </w:t>
      </w:r>
      <w:r>
        <w:rPr>
          <w:rFonts w:ascii="Times New Roman" w:hAnsi="Times New Roman" w:cs="Times New Roman"/>
          <w:sz w:val="24"/>
          <w:szCs w:val="28"/>
          <w:lang w:val="ru-RU"/>
        </w:rPr>
        <w:t>Общества</w:t>
      </w:r>
      <w:r w:rsidRPr="00B27F6E">
        <w:rPr>
          <w:rFonts w:ascii="Times New Roman" w:hAnsi="Times New Roman" w:cs="Times New Roman"/>
          <w:sz w:val="24"/>
          <w:szCs w:val="28"/>
          <w:lang w:val="ru-RU"/>
        </w:rPr>
        <w:t xml:space="preserve"> выносит на рассмотрение </w:t>
      </w:r>
      <w:r>
        <w:rPr>
          <w:rFonts w:ascii="Times New Roman" w:hAnsi="Times New Roman" w:cs="Times New Roman"/>
          <w:sz w:val="24"/>
          <w:szCs w:val="28"/>
          <w:lang w:val="ru-RU"/>
        </w:rPr>
        <w:t>наблюдательного совета Общества</w:t>
      </w:r>
      <w:r w:rsidRPr="00B27F6E">
        <w:rPr>
          <w:rFonts w:ascii="Times New Roman" w:hAnsi="Times New Roman" w:cs="Times New Roman"/>
          <w:sz w:val="24"/>
          <w:szCs w:val="28"/>
          <w:lang w:val="ru-RU"/>
        </w:rPr>
        <w:t xml:space="preserve"> вопрос об утверждении отчета об исполнении Плана мероприятий с таким расчетом, чтобы соответствующий вопрос был рассмотрен (принято решение) не позднее 45 (сорока пяти) календарных дней со дня завершения отчетного квартала.</w:t>
      </w:r>
    </w:p>
    <w:p w:rsidR="000F7FAF" w:rsidRPr="00CC063C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27F6E">
        <w:rPr>
          <w:rFonts w:ascii="Times New Roman" w:hAnsi="Times New Roman" w:cs="Times New Roman"/>
          <w:sz w:val="24"/>
          <w:szCs w:val="28"/>
          <w:lang w:val="ru-RU"/>
        </w:rPr>
        <w:t>При этом первым отчетным кварталом признается квартал, следующий за кварталом, в котором был утвержден План мероприятий в первый раз на основании настоящей программы.</w:t>
      </w:r>
    </w:p>
    <w:p w:rsidR="000F7FAF" w:rsidRPr="006F53A5" w:rsidRDefault="000F7FAF" w:rsidP="000F7FAF">
      <w:pPr>
        <w:ind w:firstLine="709"/>
        <w:jc w:val="both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B27F6E">
        <w:rPr>
          <w:rFonts w:ascii="Times New Roman" w:hAnsi="Times New Roman" w:cs="Times New Roman"/>
          <w:b/>
          <w:sz w:val="24"/>
          <w:szCs w:val="28"/>
          <w:lang w:val="ru-RU"/>
        </w:rPr>
        <w:t>10. Ответственность руководителей и сотрудников структурных подразделений.</w:t>
      </w:r>
    </w:p>
    <w:p w:rsidR="000F7FAF" w:rsidRPr="00CC063C" w:rsidRDefault="000F7FAF" w:rsidP="000F7FAF">
      <w:pPr>
        <w:ind w:firstLine="709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B27F6E">
        <w:rPr>
          <w:rFonts w:ascii="Times New Roman" w:hAnsi="Times New Roman" w:cs="Times New Roman"/>
          <w:sz w:val="24"/>
          <w:szCs w:val="28"/>
          <w:lang w:val="ru-RU"/>
        </w:rPr>
        <w:t>Порядок и способы премирования/</w:t>
      </w:r>
      <w:proofErr w:type="spellStart"/>
      <w:r w:rsidRPr="00B27F6E">
        <w:rPr>
          <w:rFonts w:ascii="Times New Roman" w:hAnsi="Times New Roman" w:cs="Times New Roman"/>
          <w:sz w:val="24"/>
          <w:szCs w:val="28"/>
          <w:lang w:val="ru-RU"/>
        </w:rPr>
        <w:t>депремирования</w:t>
      </w:r>
      <w:proofErr w:type="spellEnd"/>
      <w:r w:rsidRPr="00B27F6E">
        <w:rPr>
          <w:rFonts w:ascii="Times New Roman" w:hAnsi="Times New Roman" w:cs="Times New Roman"/>
          <w:sz w:val="24"/>
          <w:szCs w:val="28"/>
          <w:lang w:val="ru-RU"/>
        </w:rPr>
        <w:t xml:space="preserve"> руководителей и сотрудников структурных подразделений, отвечающих за выполнение работ по выявлению непрофильных активов, реализацию непрофильных активов, представление своевременной, качественной, достоверной и полной информации о реализации непрофильных активов акционеру, органам управления и контроля </w:t>
      </w:r>
      <w:r>
        <w:rPr>
          <w:rFonts w:ascii="Times New Roman" w:hAnsi="Times New Roman" w:cs="Times New Roman"/>
          <w:sz w:val="24"/>
          <w:szCs w:val="28"/>
          <w:lang w:val="ru-RU"/>
        </w:rPr>
        <w:t>Общества</w:t>
      </w:r>
      <w:r w:rsidRPr="00B27F6E">
        <w:rPr>
          <w:rFonts w:ascii="Times New Roman" w:hAnsi="Times New Roman" w:cs="Times New Roman"/>
          <w:sz w:val="24"/>
          <w:szCs w:val="28"/>
          <w:lang w:val="ru-RU"/>
        </w:rPr>
        <w:t xml:space="preserve"> регулируются в рамках трудовых правоотношений </w:t>
      </w:r>
      <w:r>
        <w:rPr>
          <w:rFonts w:ascii="Times New Roman" w:hAnsi="Times New Roman" w:cs="Times New Roman"/>
          <w:sz w:val="24"/>
          <w:szCs w:val="28"/>
          <w:lang w:val="ru-RU"/>
        </w:rPr>
        <w:t>Общества</w:t>
      </w:r>
      <w:r w:rsidRPr="00B27F6E">
        <w:rPr>
          <w:rFonts w:ascii="Times New Roman" w:hAnsi="Times New Roman" w:cs="Times New Roman"/>
          <w:sz w:val="24"/>
          <w:szCs w:val="28"/>
          <w:lang w:val="ru-RU"/>
        </w:rPr>
        <w:t xml:space="preserve"> с соответствующими ответственными работниками. Необходимость установления соответствующей регуляции определяется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 Обществом</w:t>
      </w:r>
      <w:r w:rsidRPr="00B27F6E">
        <w:rPr>
          <w:rFonts w:ascii="Times New Roman" w:hAnsi="Times New Roman" w:cs="Times New Roman"/>
          <w:sz w:val="24"/>
          <w:szCs w:val="28"/>
          <w:lang w:val="ru-RU"/>
        </w:rPr>
        <w:t xml:space="preserve"> самостоятельно.</w:t>
      </w:r>
    </w:p>
    <w:p w:rsidR="000F7FAF" w:rsidRPr="00C10AC4" w:rsidRDefault="000F7FAF" w:rsidP="000F7FA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7FAF" w:rsidRPr="00C10AC4" w:rsidRDefault="000F7FAF" w:rsidP="000F7FAF">
      <w:pPr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10AC4">
        <w:rPr>
          <w:b/>
          <w:bCs/>
          <w:sz w:val="24"/>
          <w:lang w:val="ru-RU"/>
        </w:rPr>
        <w:br w:type="page"/>
      </w:r>
    </w:p>
    <w:p w:rsidR="000F7FAF" w:rsidRPr="00C10AC4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7FAF" w:rsidRPr="00C10AC4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Приложение №1 </w:t>
      </w:r>
    </w:p>
    <w:p w:rsidR="000F7FAF" w:rsidRPr="00C10AC4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proofErr w:type="gramStart"/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>к</w:t>
      </w:r>
      <w:proofErr w:type="gramEnd"/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10AC4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Программе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по распоряжению </w:t>
      </w:r>
      <w:r w:rsidRPr="00C10AC4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</w:t>
      </w:r>
    </w:p>
    <w:p w:rsidR="000F7FAF" w:rsidRPr="00C10AC4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непрофильными</w:t>
      </w:r>
      <w:proofErr w:type="gramEnd"/>
      <w:r w:rsidRPr="00C10AC4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активов АО «</w:t>
      </w:r>
      <w:proofErr w:type="spellStart"/>
      <w:r w:rsidRPr="00C10AC4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Храми</w:t>
      </w:r>
      <w:proofErr w:type="spellEnd"/>
      <w:r w:rsidRPr="00C10AC4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ГЭС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I</w:t>
      </w:r>
      <w:r w:rsidRPr="00C10AC4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»</w:t>
      </w:r>
    </w:p>
    <w:p w:rsidR="000F7FAF" w:rsidRPr="00C10AC4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</w:p>
    <w:p w:rsidR="000F7FAF" w:rsidRPr="00C10AC4" w:rsidRDefault="000F7FAF" w:rsidP="000F7FAF">
      <w:pPr>
        <w:keepNext/>
        <w:tabs>
          <w:tab w:val="left" w:pos="510"/>
          <w:tab w:val="num" w:pos="135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7FAF" w:rsidRPr="000D4B60" w:rsidRDefault="000F7FAF" w:rsidP="000F7FAF">
      <w:pPr>
        <w:keepNext/>
        <w:tabs>
          <w:tab w:val="left" w:pos="510"/>
          <w:tab w:val="num" w:pos="135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Таблица 1</w:t>
      </w:r>
      <w:r w:rsidRPr="000D4B6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Факторы определения профильности Е2У</w:t>
      </w:r>
    </w:p>
    <w:tbl>
      <w:tblPr>
        <w:tblStyle w:val="1"/>
        <w:tblW w:w="10410" w:type="dxa"/>
        <w:tblLook w:val="04A0" w:firstRow="1" w:lastRow="0" w:firstColumn="1" w:lastColumn="0" w:noHBand="0" w:noVBand="1"/>
      </w:tblPr>
      <w:tblGrid>
        <w:gridCol w:w="467"/>
        <w:gridCol w:w="7564"/>
        <w:gridCol w:w="1118"/>
        <w:gridCol w:w="1261"/>
      </w:tblGrid>
      <w:tr w:rsidR="000F7FAF" w:rsidRPr="00BE4C3E" w:rsidTr="008C7FD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b/>
              </w:rPr>
            </w:pPr>
            <w:r w:rsidRPr="00BE4C3E">
              <w:rPr>
                <w:b/>
              </w:rPr>
              <w:t>№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b/>
              </w:rPr>
            </w:pPr>
            <w:r w:rsidRPr="00BE4C3E">
              <w:rPr>
                <w:b/>
              </w:rPr>
              <w:t>Факторы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b/>
              </w:rPr>
            </w:pPr>
            <w:r w:rsidRPr="00BE4C3E">
              <w:rPr>
                <w:b/>
              </w:rPr>
              <w:t>Целевые ответы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b/>
              </w:rPr>
            </w:pPr>
            <w:r w:rsidRPr="00BE4C3E">
              <w:rPr>
                <w:b/>
              </w:rPr>
              <w:t>Удельные веса</w:t>
            </w:r>
          </w:p>
        </w:tc>
      </w:tr>
      <w:tr w:rsidR="000F7FAF" w:rsidRPr="00BE4C3E" w:rsidTr="008C7FD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>1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both"/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 xml:space="preserve">Актив, являющийся недвижимым имуществом, расположен на территории, принадлежащей Обществу и используемой для осуществления основного вида деятельности, либо для единственно возможного проезда/прохода к территории, используемой Обществом для осуществления основного вида деятельности </w:t>
            </w:r>
            <w:r>
              <w:rPr>
                <w:sz w:val="24"/>
                <w:szCs w:val="24"/>
              </w:rPr>
              <w:t>(</w:t>
            </w:r>
            <w:r w:rsidRPr="00BE4C3E">
              <w:rPr>
                <w:sz w:val="24"/>
                <w:szCs w:val="24"/>
              </w:rPr>
              <w:t>да/нет)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>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E4C3E">
              <w:rPr>
                <w:sz w:val="24"/>
                <w:szCs w:val="24"/>
              </w:rPr>
              <w:t>%</w:t>
            </w:r>
          </w:p>
        </w:tc>
      </w:tr>
      <w:tr w:rsidR="000F7FAF" w:rsidRPr="00BE4C3E" w:rsidTr="008C7FD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>2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both"/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 xml:space="preserve">Е2У генерирует более 5% выручки по итогам предыдущего года (да/нет)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>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E4C3E">
              <w:rPr>
                <w:sz w:val="24"/>
                <w:szCs w:val="24"/>
              </w:rPr>
              <w:t>%</w:t>
            </w:r>
          </w:p>
        </w:tc>
      </w:tr>
      <w:tr w:rsidR="000F7FAF" w:rsidRPr="00BE4C3E" w:rsidTr="008C7FD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>3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both"/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 xml:space="preserve">Относится к социально значимым объектам (поликлиника, аэропорт, санаторий, спортивный комплекс, общежитие, столовая), выручка которых формируется более чем на 50% за счет предоставления услуг работникам Общества (да/нет)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>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E4C3E">
              <w:rPr>
                <w:sz w:val="24"/>
                <w:szCs w:val="24"/>
              </w:rPr>
              <w:t>%</w:t>
            </w:r>
          </w:p>
        </w:tc>
      </w:tr>
      <w:tr w:rsidR="000F7FAF" w:rsidRPr="00BE4C3E" w:rsidTr="008C7FD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>4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both"/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 xml:space="preserve">Наличие заключенных контрактов или иных обязательств, связанных с использованием Е2У, общей стоимостью более 1% от выручки материнской компании или более </w:t>
            </w:r>
            <w:r w:rsidRPr="00E2260A">
              <w:rPr>
                <w:sz w:val="24"/>
                <w:szCs w:val="24"/>
              </w:rPr>
              <w:t>43 279 000</w:t>
            </w:r>
            <w:r w:rsidRPr="00BE4C3E">
              <w:rPr>
                <w:sz w:val="24"/>
                <w:szCs w:val="24"/>
              </w:rPr>
              <w:t xml:space="preserve"> лари (да/нет)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>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E4C3E">
              <w:rPr>
                <w:sz w:val="24"/>
                <w:szCs w:val="24"/>
              </w:rPr>
              <w:t>%</w:t>
            </w:r>
          </w:p>
        </w:tc>
      </w:tr>
      <w:tr w:rsidR="000F7FAF" w:rsidRPr="00BE4C3E" w:rsidTr="008C7FD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>5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both"/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 xml:space="preserve">Е2У содержит активы, результаты деятельности которых составляют государственную тайну либо коммерческую тайну, раскрытие которой для Общества повлечет убытки (да/нет)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E4C3E">
              <w:rPr>
                <w:sz w:val="24"/>
                <w:szCs w:val="24"/>
              </w:rPr>
              <w:t>%</w:t>
            </w:r>
          </w:p>
        </w:tc>
      </w:tr>
      <w:tr w:rsidR="000F7FAF" w:rsidRPr="00BE4C3E" w:rsidTr="008C7FDA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>6</w:t>
            </w:r>
          </w:p>
        </w:tc>
        <w:tc>
          <w:tcPr>
            <w:tcW w:w="7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both"/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 xml:space="preserve">Е2У обеспечивает предотвращение чрезвычайных ситуаций, информационную, экономическую и финансовую безопасность Общества и его подконтрольных юридических лиц (да/нет)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sz w:val="24"/>
                <w:szCs w:val="24"/>
              </w:rPr>
            </w:pPr>
            <w:r w:rsidRPr="00BE4C3E">
              <w:rPr>
                <w:sz w:val="24"/>
                <w:szCs w:val="24"/>
              </w:rPr>
              <w:t xml:space="preserve">Да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keepNext/>
              <w:tabs>
                <w:tab w:val="left" w:pos="510"/>
                <w:tab w:val="num" w:pos="135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Pr="00BE4C3E">
              <w:rPr>
                <w:sz w:val="24"/>
                <w:szCs w:val="24"/>
              </w:rPr>
              <w:t>%</w:t>
            </w:r>
          </w:p>
        </w:tc>
      </w:tr>
    </w:tbl>
    <w:p w:rsidR="000F7FAF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7FAF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  <w:sectPr w:rsidR="000F7FAF" w:rsidSect="004A3B76">
          <w:headerReference w:type="default" r:id="rId5"/>
          <w:pgSz w:w="11906" w:h="16838"/>
          <w:pgMar w:top="1886" w:right="850" w:bottom="1440" w:left="1138" w:header="706" w:footer="706" w:gutter="0"/>
          <w:cols w:space="708"/>
          <w:docGrid w:linePitch="360"/>
        </w:sectPr>
      </w:pPr>
    </w:p>
    <w:p w:rsidR="000F7FAF" w:rsidRPr="00C10AC4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lastRenderedPageBreak/>
        <w:t>Приложение №2</w:t>
      </w:r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</w:p>
    <w:p w:rsidR="000F7FAF" w:rsidRPr="00C10AC4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proofErr w:type="gramStart"/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>к</w:t>
      </w:r>
      <w:proofErr w:type="gramEnd"/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C10AC4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Программе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по распоряжению </w:t>
      </w:r>
      <w:r w:rsidRPr="00C10AC4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</w:t>
      </w:r>
    </w:p>
    <w:p w:rsidR="000F7FAF" w:rsidRPr="00C10AC4" w:rsidRDefault="000F7FAF" w:rsidP="000F7FAF">
      <w:pPr>
        <w:spacing w:after="0" w:line="240" w:lineRule="auto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непрофильными</w:t>
      </w:r>
      <w:proofErr w:type="gramEnd"/>
      <w:r w:rsidRPr="00C10AC4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активов АО «</w:t>
      </w:r>
      <w:proofErr w:type="spellStart"/>
      <w:r w:rsidRPr="00C10AC4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Храми</w:t>
      </w:r>
      <w:proofErr w:type="spellEnd"/>
      <w:r w:rsidRPr="00C10AC4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 xml:space="preserve"> ГЭС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I</w:t>
      </w:r>
      <w:r w:rsidRPr="00C10AC4">
        <w:rPr>
          <w:rFonts w:ascii="Times New Roman" w:eastAsia="Times New Roman" w:hAnsi="Times New Roman"/>
          <w:bCs/>
          <w:color w:val="000000"/>
          <w:sz w:val="24"/>
          <w:szCs w:val="24"/>
          <w:lang w:val="ru-RU" w:eastAsia="ru-RU"/>
        </w:rPr>
        <w:t>»</w:t>
      </w:r>
    </w:p>
    <w:p w:rsidR="000F7FAF" w:rsidRPr="000D4B60" w:rsidRDefault="000F7FAF" w:rsidP="000F7FAF">
      <w:pPr>
        <w:keepNext/>
        <w:tabs>
          <w:tab w:val="left" w:pos="510"/>
          <w:tab w:val="num" w:pos="135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7FAF" w:rsidRPr="00C10AC4" w:rsidRDefault="000F7FAF" w:rsidP="000F7FAF">
      <w:pPr>
        <w:keepNext/>
        <w:tabs>
          <w:tab w:val="left" w:pos="510"/>
          <w:tab w:val="num" w:pos="1353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0F7FAF" w:rsidRPr="00C10AC4" w:rsidRDefault="000F7FAF" w:rsidP="000F7FAF">
      <w:pPr>
        <w:widowControl w:val="0"/>
        <w:tabs>
          <w:tab w:val="left" w:pos="510"/>
          <w:tab w:val="num" w:pos="1353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>Таблица 2</w:t>
      </w:r>
      <w:r w:rsidRPr="00C10AC4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Факторы определения профильности активов в составе Е2У</w:t>
      </w:r>
    </w:p>
    <w:tbl>
      <w:tblPr>
        <w:tblStyle w:val="1"/>
        <w:tblW w:w="10293" w:type="dxa"/>
        <w:tblLook w:val="04A0" w:firstRow="1" w:lastRow="0" w:firstColumn="1" w:lastColumn="0" w:noHBand="0" w:noVBand="1"/>
      </w:tblPr>
      <w:tblGrid>
        <w:gridCol w:w="468"/>
        <w:gridCol w:w="7470"/>
        <w:gridCol w:w="1095"/>
        <w:gridCol w:w="1260"/>
      </w:tblGrid>
      <w:tr w:rsidR="000F7FAF" w:rsidRPr="00BE4C3E" w:rsidTr="008C7F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F7FAF" w:rsidRPr="00BE4C3E" w:rsidRDefault="000F7FAF" w:rsidP="008C7FDA">
            <w:pPr>
              <w:widowControl w:val="0"/>
              <w:tabs>
                <w:tab w:val="left" w:pos="510"/>
                <w:tab w:val="num" w:pos="1353"/>
              </w:tabs>
              <w:jc w:val="center"/>
              <w:rPr>
                <w:b/>
              </w:rPr>
            </w:pPr>
            <w:r w:rsidRPr="00BE4C3E">
              <w:rPr>
                <w:b/>
              </w:rPr>
              <w:t>№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F7FAF" w:rsidRPr="00BE4C3E" w:rsidRDefault="000F7FAF" w:rsidP="008C7FDA">
            <w:pPr>
              <w:widowControl w:val="0"/>
              <w:tabs>
                <w:tab w:val="left" w:pos="510"/>
                <w:tab w:val="num" w:pos="1353"/>
              </w:tabs>
              <w:jc w:val="center"/>
              <w:rPr>
                <w:b/>
              </w:rPr>
            </w:pPr>
            <w:r w:rsidRPr="00BE4C3E">
              <w:rPr>
                <w:b/>
              </w:rPr>
              <w:t>Факторы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F7FAF" w:rsidRPr="00BE4C3E" w:rsidRDefault="000F7FAF" w:rsidP="008C7FDA">
            <w:pPr>
              <w:widowControl w:val="0"/>
              <w:tabs>
                <w:tab w:val="left" w:pos="510"/>
                <w:tab w:val="num" w:pos="1353"/>
              </w:tabs>
              <w:jc w:val="center"/>
              <w:rPr>
                <w:b/>
              </w:rPr>
            </w:pPr>
            <w:r w:rsidRPr="00BE4C3E">
              <w:rPr>
                <w:b/>
              </w:rPr>
              <w:t>Целевые ответы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0F7FAF" w:rsidRPr="00BE4C3E" w:rsidRDefault="000F7FAF" w:rsidP="008C7FDA">
            <w:pPr>
              <w:widowControl w:val="0"/>
              <w:tabs>
                <w:tab w:val="left" w:pos="510"/>
                <w:tab w:val="num" w:pos="1353"/>
              </w:tabs>
              <w:jc w:val="center"/>
              <w:rPr>
                <w:b/>
              </w:rPr>
            </w:pPr>
            <w:r w:rsidRPr="00BE4C3E">
              <w:rPr>
                <w:b/>
              </w:rPr>
              <w:t>Удельные веса</w:t>
            </w:r>
          </w:p>
        </w:tc>
      </w:tr>
      <w:tr w:rsidR="000F7FAF" w:rsidRPr="00BE4C3E" w:rsidTr="008C7F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widowControl w:val="0"/>
              <w:jc w:val="both"/>
            </w:pPr>
            <w:r w:rsidRPr="00BE4C3E">
              <w:t>1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widowControl w:val="0"/>
              <w:tabs>
                <w:tab w:val="left" w:pos="510"/>
                <w:tab w:val="num" w:pos="1353"/>
              </w:tabs>
              <w:jc w:val="both"/>
            </w:pPr>
            <w:r w:rsidRPr="00BE4C3E">
              <w:t xml:space="preserve">Актив является необходимым для обеспечения успешной работы Е2У (да/нет)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widowControl w:val="0"/>
              <w:jc w:val="center"/>
            </w:pPr>
            <w:r w:rsidRPr="00BE4C3E"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widowControl w:val="0"/>
              <w:jc w:val="center"/>
            </w:pPr>
            <w:r w:rsidRPr="00BE4C3E">
              <w:t>100%</w:t>
            </w:r>
          </w:p>
        </w:tc>
      </w:tr>
      <w:tr w:rsidR="000F7FAF" w:rsidRPr="00BE4C3E" w:rsidTr="008C7FD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widowControl w:val="0"/>
              <w:jc w:val="both"/>
            </w:pPr>
            <w:r w:rsidRPr="00BE4C3E">
              <w:t>2</w:t>
            </w:r>
          </w:p>
        </w:tc>
        <w:tc>
          <w:tcPr>
            <w:tcW w:w="7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widowControl w:val="0"/>
              <w:jc w:val="both"/>
            </w:pPr>
            <w:r w:rsidRPr="00BE4C3E">
              <w:t xml:space="preserve">Актив является неотчуждаемым (сервитут, объект коммерческой тайны, объект необходим для выполнения государственных задач, мобилизационной подготовки, обороны, безопасности и др.) (да/нет)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widowControl w:val="0"/>
              <w:jc w:val="center"/>
            </w:pPr>
            <w:r w:rsidRPr="00BE4C3E">
              <w:t>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FAF" w:rsidRPr="00BE4C3E" w:rsidRDefault="000F7FAF" w:rsidP="008C7FDA">
            <w:pPr>
              <w:widowControl w:val="0"/>
              <w:jc w:val="center"/>
            </w:pPr>
            <w:r w:rsidRPr="00BE4C3E">
              <w:t>100%</w:t>
            </w:r>
          </w:p>
        </w:tc>
      </w:tr>
    </w:tbl>
    <w:p w:rsidR="000F7FAF" w:rsidRPr="00BE4C3E" w:rsidRDefault="000F7FAF" w:rsidP="000F7FAF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1A1F" w:rsidRDefault="00831A1F">
      <w:bookmarkStart w:id="0" w:name="_GoBack"/>
      <w:bookmarkEnd w:id="0"/>
    </w:p>
    <w:sectPr w:rsidR="00831A1F" w:rsidSect="000F0FD8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C6" w:rsidRDefault="000F7F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4230"/>
    <w:multiLevelType w:val="hybridMultilevel"/>
    <w:tmpl w:val="0FA45D9E"/>
    <w:lvl w:ilvl="0" w:tplc="F9327CFA">
      <w:start w:val="61"/>
      <w:numFmt w:val="upperLetter"/>
      <w:lvlText w:val="%1."/>
      <w:lvlJc w:val="left"/>
    </w:lvl>
    <w:lvl w:ilvl="1" w:tplc="197CEBBC">
      <w:numFmt w:val="decimal"/>
      <w:lvlText w:val=""/>
      <w:lvlJc w:val="left"/>
    </w:lvl>
    <w:lvl w:ilvl="2" w:tplc="2522ECF4">
      <w:numFmt w:val="decimal"/>
      <w:lvlText w:val=""/>
      <w:lvlJc w:val="left"/>
    </w:lvl>
    <w:lvl w:ilvl="3" w:tplc="F85EC5AE">
      <w:numFmt w:val="decimal"/>
      <w:lvlText w:val=""/>
      <w:lvlJc w:val="left"/>
    </w:lvl>
    <w:lvl w:ilvl="4" w:tplc="2402AF32">
      <w:numFmt w:val="decimal"/>
      <w:lvlText w:val=""/>
      <w:lvlJc w:val="left"/>
    </w:lvl>
    <w:lvl w:ilvl="5" w:tplc="BA665F48">
      <w:numFmt w:val="decimal"/>
      <w:lvlText w:val=""/>
      <w:lvlJc w:val="left"/>
    </w:lvl>
    <w:lvl w:ilvl="6" w:tplc="EBC4624A">
      <w:numFmt w:val="decimal"/>
      <w:lvlText w:val=""/>
      <w:lvlJc w:val="left"/>
    </w:lvl>
    <w:lvl w:ilvl="7" w:tplc="2078023A">
      <w:numFmt w:val="decimal"/>
      <w:lvlText w:val=""/>
      <w:lvlJc w:val="left"/>
    </w:lvl>
    <w:lvl w:ilvl="8" w:tplc="D2D83D82">
      <w:numFmt w:val="decimal"/>
      <w:lvlText w:val=""/>
      <w:lvlJc w:val="left"/>
    </w:lvl>
  </w:abstractNum>
  <w:abstractNum w:abstractNumId="1">
    <w:nsid w:val="00004CAD"/>
    <w:multiLevelType w:val="hybridMultilevel"/>
    <w:tmpl w:val="1BF617F0"/>
    <w:lvl w:ilvl="0" w:tplc="D06EADB0">
      <w:start w:val="2"/>
      <w:numFmt w:val="decimal"/>
      <w:lvlText w:val="%1)"/>
      <w:lvlJc w:val="left"/>
    </w:lvl>
    <w:lvl w:ilvl="1" w:tplc="E9DAF2BC">
      <w:numFmt w:val="decimal"/>
      <w:lvlText w:val=""/>
      <w:lvlJc w:val="left"/>
    </w:lvl>
    <w:lvl w:ilvl="2" w:tplc="C18C8A60">
      <w:numFmt w:val="decimal"/>
      <w:lvlText w:val=""/>
      <w:lvlJc w:val="left"/>
    </w:lvl>
    <w:lvl w:ilvl="3" w:tplc="F1003826">
      <w:numFmt w:val="decimal"/>
      <w:lvlText w:val=""/>
      <w:lvlJc w:val="left"/>
    </w:lvl>
    <w:lvl w:ilvl="4" w:tplc="6DB8993C">
      <w:numFmt w:val="decimal"/>
      <w:lvlText w:val=""/>
      <w:lvlJc w:val="left"/>
    </w:lvl>
    <w:lvl w:ilvl="5" w:tplc="F96A15FA">
      <w:numFmt w:val="decimal"/>
      <w:lvlText w:val=""/>
      <w:lvlJc w:val="left"/>
    </w:lvl>
    <w:lvl w:ilvl="6" w:tplc="69DECE9C">
      <w:numFmt w:val="decimal"/>
      <w:lvlText w:val=""/>
      <w:lvlJc w:val="left"/>
    </w:lvl>
    <w:lvl w:ilvl="7" w:tplc="ED244096">
      <w:numFmt w:val="decimal"/>
      <w:lvlText w:val=""/>
      <w:lvlJc w:val="left"/>
    </w:lvl>
    <w:lvl w:ilvl="8" w:tplc="0D62D86A">
      <w:numFmt w:val="decimal"/>
      <w:lvlText w:val=""/>
      <w:lvlJc w:val="left"/>
    </w:lvl>
  </w:abstractNum>
  <w:abstractNum w:abstractNumId="2">
    <w:nsid w:val="00004DF2"/>
    <w:multiLevelType w:val="hybridMultilevel"/>
    <w:tmpl w:val="9BD255F2"/>
    <w:lvl w:ilvl="0" w:tplc="8A869DA8">
      <w:start w:val="35"/>
      <w:numFmt w:val="upperLetter"/>
      <w:lvlText w:val="%1."/>
      <w:lvlJc w:val="left"/>
      <w:rPr>
        <w:sz w:val="28"/>
        <w:szCs w:val="28"/>
      </w:rPr>
    </w:lvl>
    <w:lvl w:ilvl="1" w:tplc="63AE8928">
      <w:numFmt w:val="decimal"/>
      <w:lvlText w:val=""/>
      <w:lvlJc w:val="left"/>
    </w:lvl>
    <w:lvl w:ilvl="2" w:tplc="24867910">
      <w:numFmt w:val="decimal"/>
      <w:lvlText w:val=""/>
      <w:lvlJc w:val="left"/>
    </w:lvl>
    <w:lvl w:ilvl="3" w:tplc="F5323A44">
      <w:numFmt w:val="decimal"/>
      <w:lvlText w:val=""/>
      <w:lvlJc w:val="left"/>
    </w:lvl>
    <w:lvl w:ilvl="4" w:tplc="9EC8D14C">
      <w:numFmt w:val="decimal"/>
      <w:lvlText w:val=""/>
      <w:lvlJc w:val="left"/>
    </w:lvl>
    <w:lvl w:ilvl="5" w:tplc="08305640">
      <w:numFmt w:val="decimal"/>
      <w:lvlText w:val=""/>
      <w:lvlJc w:val="left"/>
    </w:lvl>
    <w:lvl w:ilvl="6" w:tplc="48123662">
      <w:numFmt w:val="decimal"/>
      <w:lvlText w:val=""/>
      <w:lvlJc w:val="left"/>
    </w:lvl>
    <w:lvl w:ilvl="7" w:tplc="9CE0DDF6">
      <w:numFmt w:val="decimal"/>
      <w:lvlText w:val=""/>
      <w:lvlJc w:val="left"/>
    </w:lvl>
    <w:lvl w:ilvl="8" w:tplc="E75A1482">
      <w:numFmt w:val="decimal"/>
      <w:lvlText w:val=""/>
      <w:lvlJc w:val="left"/>
    </w:lvl>
  </w:abstractNum>
  <w:abstractNum w:abstractNumId="3">
    <w:nsid w:val="00005F49"/>
    <w:multiLevelType w:val="hybridMultilevel"/>
    <w:tmpl w:val="FC1E946C"/>
    <w:lvl w:ilvl="0" w:tplc="6DC22FE0">
      <w:start w:val="9"/>
      <w:numFmt w:val="upperLetter"/>
      <w:lvlText w:val="%1."/>
      <w:lvlJc w:val="left"/>
    </w:lvl>
    <w:lvl w:ilvl="1" w:tplc="1A80DFFE">
      <w:numFmt w:val="decimal"/>
      <w:lvlText w:val=""/>
      <w:lvlJc w:val="left"/>
    </w:lvl>
    <w:lvl w:ilvl="2" w:tplc="D8D28F12">
      <w:numFmt w:val="decimal"/>
      <w:lvlText w:val=""/>
      <w:lvlJc w:val="left"/>
    </w:lvl>
    <w:lvl w:ilvl="3" w:tplc="28FEF5A2">
      <w:numFmt w:val="decimal"/>
      <w:lvlText w:val=""/>
      <w:lvlJc w:val="left"/>
    </w:lvl>
    <w:lvl w:ilvl="4" w:tplc="E95AC6AC">
      <w:numFmt w:val="decimal"/>
      <w:lvlText w:val=""/>
      <w:lvlJc w:val="left"/>
    </w:lvl>
    <w:lvl w:ilvl="5" w:tplc="53043E8A">
      <w:numFmt w:val="decimal"/>
      <w:lvlText w:val=""/>
      <w:lvlJc w:val="left"/>
    </w:lvl>
    <w:lvl w:ilvl="6" w:tplc="BFB2B868">
      <w:numFmt w:val="decimal"/>
      <w:lvlText w:val=""/>
      <w:lvlJc w:val="left"/>
    </w:lvl>
    <w:lvl w:ilvl="7" w:tplc="20408EB6">
      <w:numFmt w:val="decimal"/>
      <w:lvlText w:val=""/>
      <w:lvlJc w:val="left"/>
    </w:lvl>
    <w:lvl w:ilvl="8" w:tplc="4B36D608">
      <w:numFmt w:val="decimal"/>
      <w:lvlText w:val=""/>
      <w:lvlJc w:val="left"/>
    </w:lvl>
  </w:abstractNum>
  <w:abstractNum w:abstractNumId="4">
    <w:nsid w:val="4D5E51DE"/>
    <w:multiLevelType w:val="hybridMultilevel"/>
    <w:tmpl w:val="08864B5C"/>
    <w:lvl w:ilvl="0" w:tplc="4E5C89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75766E9E"/>
    <w:multiLevelType w:val="multilevel"/>
    <w:tmpl w:val="60DEBD92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m2"/>
      <w:lvlText w:val="%1.%2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425"/>
    <w:rsid w:val="00080BA2"/>
    <w:rsid w:val="000F0FD8"/>
    <w:rsid w:val="000F3425"/>
    <w:rsid w:val="000F566A"/>
    <w:rsid w:val="000F7FAF"/>
    <w:rsid w:val="00284AC6"/>
    <w:rsid w:val="002872BD"/>
    <w:rsid w:val="002F3076"/>
    <w:rsid w:val="00490ACB"/>
    <w:rsid w:val="00501E9A"/>
    <w:rsid w:val="00625BC0"/>
    <w:rsid w:val="007B014C"/>
    <w:rsid w:val="00831A1F"/>
    <w:rsid w:val="008331D3"/>
    <w:rsid w:val="008F2E0A"/>
    <w:rsid w:val="00A77F68"/>
    <w:rsid w:val="00D125F8"/>
    <w:rsid w:val="00D3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C81617-25BE-4DD2-91EF-F7D615601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7FA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7F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eaderChar">
    <w:name w:val="Header Char"/>
    <w:basedOn w:val="DefaultParagraphFont"/>
    <w:link w:val="Header"/>
    <w:rsid w:val="000F7F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1">
    <w:name w:val="m_1_Пункт"/>
    <w:basedOn w:val="Normal"/>
    <w:next w:val="Normal"/>
    <w:rsid w:val="000F7FAF"/>
    <w:pPr>
      <w:keepNext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m2">
    <w:name w:val="m_2_Пункт"/>
    <w:basedOn w:val="Normal"/>
    <w:next w:val="Normal"/>
    <w:rsid w:val="000F7FAF"/>
    <w:pPr>
      <w:keepNext/>
      <w:numPr>
        <w:ilvl w:val="1"/>
        <w:numId w:val="1"/>
      </w:numPr>
      <w:tabs>
        <w:tab w:val="left" w:pos="51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m3">
    <w:name w:val="m_3_Пункт"/>
    <w:basedOn w:val="Normal"/>
    <w:next w:val="Normal"/>
    <w:rsid w:val="000F7FAF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ListParagraph">
    <w:name w:val="List Paragraph"/>
    <w:aliases w:val="-Абзац списка"/>
    <w:basedOn w:val="Normal"/>
    <w:link w:val="ListParagraphChar"/>
    <w:uiPriority w:val="34"/>
    <w:qFormat/>
    <w:rsid w:val="000F7F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-Абзац списка Char"/>
    <w:link w:val="ListParagraph"/>
    <w:uiPriority w:val="34"/>
    <w:locked/>
    <w:rsid w:val="000F7FA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">
    <w:name w:val="Сетка таблицы1"/>
    <w:basedOn w:val="TableNormal"/>
    <w:next w:val="TableGrid"/>
    <w:uiPriority w:val="59"/>
    <w:rsid w:val="000F7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F7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3335</Words>
  <Characters>19010</Characters>
  <Application>Microsoft Office Word</Application>
  <DocSecurity>0</DocSecurity>
  <Lines>158</Lines>
  <Paragraphs>44</Paragraphs>
  <ScaleCrop>false</ScaleCrop>
  <Company>Windows User</Company>
  <LinksUpToDate>false</LinksUpToDate>
  <CharactersWithSpaces>22301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Oganesyan</dc:creator>
  <cp:keywords/>
  <dc:description/>
  <cp:lastModifiedBy>Anna Oganesyan</cp:lastModifiedBy>
  <cp:revision>2</cp:revision>
  <dcterms:created xsi:type="dcterms:W3CDTF">2017-12-15T08:06:00Z</dcterms:created>
  <dcterms:modified xsi:type="dcterms:W3CDTF">2017-12-15T08:06:00Z</dcterms:modified>
</cp:coreProperties>
</file>