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0AC4">
        <w:rPr>
          <w:rFonts w:ascii="Times New Roman" w:eastAsia="Times New Roman" w:hAnsi="Times New Roman"/>
          <w:sz w:val="24"/>
          <w:szCs w:val="24"/>
        </w:rPr>
        <w:t xml:space="preserve">Приложение №1 </w:t>
      </w: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0AC4"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 w:rsidRPr="00C10AC4">
        <w:rPr>
          <w:rFonts w:ascii="Times New Roman" w:eastAsia="Times New Roman" w:hAnsi="Times New Roman"/>
          <w:sz w:val="24"/>
          <w:szCs w:val="24"/>
        </w:rPr>
        <w:t xml:space="preserve"> протоколу Наблюдательного </w:t>
      </w: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0AC4">
        <w:rPr>
          <w:rFonts w:ascii="Times New Roman" w:eastAsia="Times New Roman" w:hAnsi="Times New Roman"/>
          <w:sz w:val="24"/>
          <w:szCs w:val="24"/>
        </w:rPr>
        <w:t>совета</w:t>
      </w:r>
      <w:proofErr w:type="gramEnd"/>
      <w:r w:rsidRPr="00C10AC4">
        <w:rPr>
          <w:rFonts w:ascii="Times New Roman" w:eastAsia="Times New Roman" w:hAnsi="Times New Roman"/>
          <w:sz w:val="24"/>
          <w:szCs w:val="24"/>
        </w:rPr>
        <w:t xml:space="preserve"> АО «</w:t>
      </w:r>
      <w:proofErr w:type="spellStart"/>
      <w:r w:rsidRPr="00C10AC4">
        <w:rPr>
          <w:rFonts w:ascii="Times New Roman" w:eastAsia="Times New Roman" w:hAnsi="Times New Roman"/>
          <w:sz w:val="24"/>
          <w:szCs w:val="24"/>
        </w:rPr>
        <w:t>Храми</w:t>
      </w:r>
      <w:proofErr w:type="spellEnd"/>
      <w:r w:rsidRPr="00C10AC4">
        <w:rPr>
          <w:rFonts w:ascii="Times New Roman" w:eastAsia="Times New Roman" w:hAnsi="Times New Roman"/>
          <w:sz w:val="24"/>
          <w:szCs w:val="24"/>
        </w:rPr>
        <w:t xml:space="preserve"> ГЭС </w:t>
      </w:r>
      <w:r>
        <w:rPr>
          <w:rFonts w:ascii="Times New Roman" w:eastAsia="Times New Roman" w:hAnsi="Times New Roman"/>
          <w:sz w:val="24"/>
          <w:szCs w:val="24"/>
        </w:rPr>
        <w:t>II</w:t>
      </w:r>
      <w:r w:rsidRPr="00C10AC4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9E269A" w:rsidRPr="00C10AC4" w:rsidRDefault="009E269A" w:rsidP="009E269A">
      <w:pPr>
        <w:spacing w:after="0" w:line="240" w:lineRule="auto"/>
        <w:ind w:firstLine="6521"/>
        <w:jc w:val="right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0AC4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 w:rsidRPr="00C10AC4">
        <w:rPr>
          <w:rFonts w:ascii="Times New Roman" w:eastAsia="Times New Roman" w:hAnsi="Times New Roman"/>
          <w:sz w:val="24"/>
          <w:szCs w:val="24"/>
        </w:rPr>
        <w:t xml:space="preserve"> ________ № __________</w:t>
      </w:r>
    </w:p>
    <w:p w:rsidR="009E269A" w:rsidRPr="00C10AC4" w:rsidRDefault="009E269A" w:rsidP="009E269A">
      <w:pPr>
        <w:spacing w:after="0" w:line="240" w:lineRule="auto"/>
        <w:ind w:firstLine="6521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rPr>
          <w:rFonts w:ascii="Times New Roman" w:hAnsi="Times New Roman"/>
          <w:b/>
          <w:bCs/>
          <w:caps/>
          <w:sz w:val="28"/>
          <w:szCs w:val="28"/>
        </w:rPr>
      </w:pPr>
    </w:p>
    <w:p w:rsidR="009E269A" w:rsidRPr="00C10AC4" w:rsidRDefault="009E269A" w:rsidP="009E269A">
      <w:pPr>
        <w:rPr>
          <w:rFonts w:ascii="Times New Roman" w:hAnsi="Times New Roman"/>
          <w:b/>
          <w:bCs/>
          <w:caps/>
          <w:sz w:val="28"/>
          <w:szCs w:val="28"/>
        </w:rPr>
      </w:pPr>
    </w:p>
    <w:p w:rsidR="009E269A" w:rsidRPr="00C10AC4" w:rsidRDefault="009E269A" w:rsidP="009E269A">
      <w:pPr>
        <w:rPr>
          <w:rFonts w:ascii="Times New Roman" w:hAnsi="Times New Roman"/>
          <w:b/>
          <w:bCs/>
          <w:caps/>
          <w:sz w:val="28"/>
          <w:szCs w:val="28"/>
        </w:rPr>
      </w:pPr>
    </w:p>
    <w:p w:rsidR="009E269A" w:rsidRPr="00C10AC4" w:rsidRDefault="009E269A" w:rsidP="009E269A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E269A" w:rsidRPr="00C10AC4" w:rsidRDefault="009E269A" w:rsidP="009E269A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E269A" w:rsidRDefault="009E269A" w:rsidP="009E269A">
      <w:pPr>
        <w:tabs>
          <w:tab w:val="center" w:pos="4677"/>
          <w:tab w:val="left" w:pos="6645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C10AC4">
        <w:rPr>
          <w:rFonts w:ascii="Times New Roman" w:hAnsi="Times New Roman"/>
          <w:b/>
          <w:bCs/>
          <w:caps/>
          <w:sz w:val="28"/>
          <w:szCs w:val="28"/>
        </w:rPr>
        <w:t>пРОГРАММА</w:t>
      </w:r>
    </w:p>
    <w:p w:rsidR="009E269A" w:rsidRPr="00C10AC4" w:rsidRDefault="009E269A" w:rsidP="009E269A">
      <w:pPr>
        <w:tabs>
          <w:tab w:val="center" w:pos="4677"/>
          <w:tab w:val="left" w:pos="6645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РАСПОРЯЖЕНИЯ НЕПРОФИЛЬНЫМИ АКТИВАМИ</w:t>
      </w:r>
    </w:p>
    <w:p w:rsidR="009E269A" w:rsidRPr="00C10AC4" w:rsidRDefault="009E269A" w:rsidP="009E269A">
      <w:pPr>
        <w:tabs>
          <w:tab w:val="center" w:pos="4677"/>
          <w:tab w:val="left" w:pos="6645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C10AC4">
        <w:rPr>
          <w:rFonts w:ascii="Times New Roman" w:hAnsi="Times New Roman"/>
          <w:b/>
          <w:bCs/>
          <w:caps/>
          <w:sz w:val="28"/>
          <w:szCs w:val="28"/>
        </w:rPr>
        <w:t xml:space="preserve">АО «Храми ГЭС </w:t>
      </w:r>
      <w:r>
        <w:rPr>
          <w:rFonts w:ascii="Times New Roman" w:hAnsi="Times New Roman"/>
          <w:b/>
          <w:bCs/>
          <w:caps/>
          <w:sz w:val="28"/>
          <w:szCs w:val="28"/>
        </w:rPr>
        <w:t>II</w:t>
      </w:r>
      <w:r w:rsidRPr="00C10AC4">
        <w:rPr>
          <w:rFonts w:ascii="Times New Roman" w:hAnsi="Times New Roman"/>
          <w:b/>
          <w:bCs/>
          <w:caps/>
          <w:sz w:val="28"/>
          <w:szCs w:val="28"/>
        </w:rPr>
        <w:t>»</w:t>
      </w:r>
    </w:p>
    <w:p w:rsidR="009E269A" w:rsidRPr="00C10AC4" w:rsidRDefault="009E269A" w:rsidP="009E269A">
      <w:pPr>
        <w:jc w:val="center"/>
        <w:rPr>
          <w:rFonts w:ascii="Times New Roman" w:hAnsi="Times New Roman"/>
        </w:rPr>
      </w:pPr>
    </w:p>
    <w:p w:rsidR="009E269A" w:rsidRPr="00C10AC4" w:rsidRDefault="009E269A" w:rsidP="009E269A">
      <w:pPr>
        <w:jc w:val="center"/>
        <w:rPr>
          <w:rFonts w:ascii="Times New Roman" w:hAnsi="Times New Roman"/>
        </w:rPr>
      </w:pPr>
    </w:p>
    <w:p w:rsidR="009E269A" w:rsidRPr="00C10AC4" w:rsidRDefault="009E269A" w:rsidP="009E269A">
      <w:pPr>
        <w:jc w:val="center"/>
        <w:rPr>
          <w:rFonts w:ascii="Times New Roman" w:hAnsi="Times New Roman"/>
        </w:rPr>
      </w:pPr>
    </w:p>
    <w:p w:rsidR="009E269A" w:rsidRPr="00C10AC4" w:rsidRDefault="009E269A" w:rsidP="009E269A">
      <w:pPr>
        <w:jc w:val="center"/>
        <w:rPr>
          <w:rFonts w:ascii="Times New Roman" w:hAnsi="Times New Roman"/>
        </w:rPr>
      </w:pPr>
    </w:p>
    <w:p w:rsidR="009E269A" w:rsidRPr="00C10AC4" w:rsidRDefault="009E269A" w:rsidP="009E269A">
      <w:pPr>
        <w:jc w:val="center"/>
        <w:rPr>
          <w:rFonts w:ascii="Times New Roman" w:hAnsi="Times New Roman"/>
        </w:rPr>
      </w:pPr>
    </w:p>
    <w:p w:rsidR="009E269A" w:rsidRPr="00C10AC4" w:rsidRDefault="009E269A" w:rsidP="009E269A">
      <w:pPr>
        <w:rPr>
          <w:rFonts w:ascii="Times New Roman" w:hAnsi="Times New Roman"/>
        </w:rPr>
      </w:pPr>
    </w:p>
    <w:p w:rsidR="009E269A" w:rsidRPr="00C10AC4" w:rsidRDefault="009E269A" w:rsidP="009E269A">
      <w:pPr>
        <w:rPr>
          <w:rFonts w:ascii="Times New Roman" w:hAnsi="Times New Roman"/>
        </w:rPr>
      </w:pPr>
    </w:p>
    <w:p w:rsidR="009E269A" w:rsidRPr="00C10AC4" w:rsidRDefault="009E269A" w:rsidP="009E269A">
      <w:pPr>
        <w:rPr>
          <w:rFonts w:ascii="Times New Roman" w:hAnsi="Times New Roman"/>
        </w:rPr>
      </w:pPr>
    </w:p>
    <w:p w:rsidR="009E269A" w:rsidRDefault="009E269A" w:rsidP="009E269A">
      <w:pPr>
        <w:rPr>
          <w:rFonts w:ascii="Times New Roman" w:hAnsi="Times New Roman"/>
        </w:rPr>
      </w:pPr>
    </w:p>
    <w:p w:rsidR="009E269A" w:rsidRDefault="009E269A" w:rsidP="009E269A">
      <w:pPr>
        <w:rPr>
          <w:rFonts w:ascii="Times New Roman" w:hAnsi="Times New Roman"/>
        </w:rPr>
      </w:pPr>
    </w:p>
    <w:p w:rsidR="009E269A" w:rsidRPr="00C10AC4" w:rsidRDefault="009E269A" w:rsidP="009E269A">
      <w:pPr>
        <w:rPr>
          <w:rFonts w:ascii="Times New Roman" w:hAnsi="Times New Roman"/>
        </w:rPr>
      </w:pPr>
    </w:p>
    <w:p w:rsidR="009E269A" w:rsidRPr="00C10AC4" w:rsidRDefault="009E269A" w:rsidP="009E269A">
      <w:pPr>
        <w:rPr>
          <w:rFonts w:ascii="Times New Roman" w:hAnsi="Times New Roman"/>
        </w:rPr>
      </w:pPr>
    </w:p>
    <w:p w:rsidR="009E269A" w:rsidRPr="00C10AC4" w:rsidRDefault="009E269A" w:rsidP="009E269A">
      <w:pPr>
        <w:tabs>
          <w:tab w:val="left" w:pos="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69A" w:rsidRPr="00BE4C3E" w:rsidRDefault="009E269A" w:rsidP="009E269A">
      <w:pPr>
        <w:keepNext/>
        <w:numPr>
          <w:ilvl w:val="0"/>
          <w:numId w:val="1"/>
        </w:numPr>
        <w:spacing w:after="60" w:line="240" w:lineRule="auto"/>
        <w:jc w:val="both"/>
        <w:outlineLvl w:val="0"/>
        <w:rPr>
          <w:rFonts w:ascii="Times New Roman" w:eastAsia="Times New Roman" w:hAnsi="Times New Roman"/>
          <w:b/>
          <w:caps/>
          <w:sz w:val="24"/>
          <w:szCs w:val="24"/>
        </w:rPr>
      </w:pPr>
      <w:r w:rsidRPr="00BE4C3E">
        <w:rPr>
          <w:rFonts w:ascii="Times New Roman" w:eastAsia="Times New Roman" w:hAnsi="Times New Roman"/>
          <w:b/>
          <w:caps/>
          <w:sz w:val="24"/>
          <w:szCs w:val="24"/>
        </w:rPr>
        <w:t>ОСновные термиты и определения</w:t>
      </w:r>
    </w:p>
    <w:p w:rsidR="009E269A" w:rsidRPr="00BE4C3E" w:rsidRDefault="009E269A" w:rsidP="009E269A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54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4"/>
        <w:gridCol w:w="1620"/>
        <w:gridCol w:w="5581"/>
      </w:tblGrid>
      <w:tr w:rsidR="009E269A" w:rsidRPr="00BE4C3E" w:rsidTr="008C7FDA">
        <w:trPr>
          <w:trHeight w:val="291"/>
          <w:tblHeader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:rsidR="009E269A" w:rsidRPr="00DD4534" w:rsidRDefault="009E269A" w:rsidP="008C7FDA">
            <w:pPr>
              <w:keepNext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D453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Наименование термина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:rsidR="009E269A" w:rsidRPr="00DD4534" w:rsidRDefault="009E269A" w:rsidP="008C7FDA">
            <w:pPr>
              <w:keepNext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453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Сокращение</w:t>
            </w: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:rsidR="009E269A" w:rsidRPr="00DD4534" w:rsidRDefault="009E269A" w:rsidP="008C7FDA">
            <w:pPr>
              <w:keepNext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D453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Определение термина (расшифровка сокращения)</w:t>
            </w:r>
          </w:p>
        </w:tc>
      </w:tr>
      <w:tr w:rsidR="009E269A" w:rsidRPr="00BE4C3E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9E269A" w:rsidRPr="00DD4534" w:rsidRDefault="009E269A" w:rsidP="008C7FD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453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Вводимые определения: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269A" w:rsidRPr="00DD4534" w:rsidRDefault="009E269A" w:rsidP="008C7FD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9E269A" w:rsidRPr="00BE4C3E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D4534">
              <w:rPr>
                <w:rFonts w:ascii="Times New Roman" w:eastAsia="Times New Roman" w:hAnsi="Times New Roman" w:cs="Times New Roman"/>
                <w:lang w:eastAsia="zh-CN"/>
              </w:rPr>
              <w:t>АО «</w:t>
            </w:r>
            <w:proofErr w:type="spellStart"/>
            <w:r w:rsidRPr="00DD4534">
              <w:rPr>
                <w:rFonts w:ascii="Times New Roman" w:eastAsia="Times New Roman" w:hAnsi="Times New Roman" w:cs="Times New Roman"/>
                <w:lang w:eastAsia="zh-CN"/>
              </w:rPr>
              <w:t>Храми</w:t>
            </w:r>
            <w:proofErr w:type="spellEnd"/>
            <w:r w:rsidRPr="00DD4534">
              <w:rPr>
                <w:rFonts w:ascii="Times New Roman" w:eastAsia="Times New Roman" w:hAnsi="Times New Roman" w:cs="Times New Roman"/>
                <w:lang w:eastAsia="zh-CN"/>
              </w:rPr>
              <w:t xml:space="preserve"> ГЭС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II</w:t>
            </w:r>
            <w:r w:rsidRPr="00DD4534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</w:tc>
      </w:tr>
      <w:tr w:rsidR="009E269A" w:rsidRPr="00163BA0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4534">
              <w:rPr>
                <w:rFonts w:ascii="Times New Roman" w:hAnsi="Times New Roman" w:cs="Times New Roman"/>
              </w:rPr>
              <w:t xml:space="preserve">Активы Общества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9E269A" w:rsidRPr="00DD4534" w:rsidRDefault="009E269A" w:rsidP="008C7FD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D4534">
              <w:rPr>
                <w:rFonts w:ascii="Times New Roman" w:eastAsia="Times New Roman" w:hAnsi="Times New Roman" w:cs="Times New Roman"/>
                <w:lang w:eastAsia="zh-CN"/>
              </w:rPr>
              <w:t xml:space="preserve">Основные и оборотные средства Общества, включая денежные средства, материальные ценности, нематериальные активы, финансовые вложения. </w:t>
            </w:r>
            <w:r w:rsidRPr="00B300B4">
              <w:rPr>
                <w:rFonts w:ascii="Times New Roman" w:eastAsia="Times New Roman" w:hAnsi="Times New Roman" w:cs="Times New Roman"/>
                <w:lang w:eastAsia="zh-CN"/>
              </w:rPr>
              <w:t>В соотв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етствии с настоящей Программой</w:t>
            </w:r>
            <w:r w:rsidRPr="00B300B4">
              <w:rPr>
                <w:rFonts w:ascii="Times New Roman" w:eastAsia="Times New Roman" w:hAnsi="Times New Roman" w:cs="Times New Roman"/>
                <w:lang w:eastAsia="zh-CN"/>
              </w:rPr>
              <w:t xml:space="preserve"> в область анализа попадают </w:t>
            </w:r>
            <w:proofErr w:type="spellStart"/>
            <w:r w:rsidRPr="00B300B4">
              <w:rPr>
                <w:rFonts w:ascii="Times New Roman" w:eastAsia="Times New Roman" w:hAnsi="Times New Roman" w:cs="Times New Roman"/>
                <w:lang w:eastAsia="zh-CN"/>
              </w:rPr>
              <w:t>внеоборотные</w:t>
            </w:r>
            <w:proofErr w:type="spellEnd"/>
            <w:r w:rsidRPr="00B300B4">
              <w:rPr>
                <w:rFonts w:ascii="Times New Roman" w:eastAsia="Times New Roman" w:hAnsi="Times New Roman" w:cs="Times New Roman"/>
                <w:lang w:eastAsia="zh-CN"/>
              </w:rPr>
              <w:t xml:space="preserve"> активы Общества.</w:t>
            </w:r>
          </w:p>
        </w:tc>
      </w:tr>
      <w:tr w:rsidR="009E269A" w:rsidRPr="00163BA0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 xml:space="preserve">Профильный актив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9E269A" w:rsidRPr="00DD4534" w:rsidRDefault="009E269A" w:rsidP="008C7FD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D4534">
              <w:rPr>
                <w:rFonts w:ascii="Times New Roman" w:hAnsi="Times New Roman" w:cs="Times New Roman"/>
                <w:bCs/>
              </w:rPr>
              <w:t>Актив, принадлежащий Компании на праве собственности, и используемый в основных видах деятельности или необходимый для реализации Долгосрочной программы развития, Стратегии развития (при наличии таких программы и стратегии), или соответствующий критериям профильности в соответствии с настоящей программой</w:t>
            </w:r>
          </w:p>
          <w:p w:rsidR="009E269A" w:rsidRPr="00DD4534" w:rsidRDefault="009E269A" w:rsidP="008C7FD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E269A" w:rsidRPr="00163BA0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 xml:space="preserve">Непрофильный актив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9E269A" w:rsidRPr="00DD4534" w:rsidRDefault="009E269A" w:rsidP="008C7FD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4534">
              <w:rPr>
                <w:rFonts w:ascii="Times New Roman" w:eastAsia="Times New Roman" w:hAnsi="Times New Roman" w:cs="Times New Roman"/>
                <w:lang w:eastAsia="zh-CN"/>
              </w:rPr>
              <w:t>Актив, принадлежащий Обществу на праве собственности, не участвующие в осуществлении основных видов деятельности и не соответствующий понятию «профильный актив», включая акции (доли в уставных капиталах) хозяйственных обществ вне зависимости от основного вида деятельности таких обществ, в случае если Обществу принадлежит пакет акций (доля в уставном капитале) хозяйственного общества, составляющий менее 50 % уставного капитала</w:t>
            </w:r>
          </w:p>
        </w:tc>
      </w:tr>
      <w:tr w:rsidR="009E269A" w:rsidRPr="00163BA0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>Основные виды деятельности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4534">
              <w:rPr>
                <w:rFonts w:ascii="Times New Roman" w:eastAsia="Times New Roman" w:hAnsi="Times New Roman" w:cs="Times New Roman"/>
                <w:lang w:eastAsia="zh-CN"/>
              </w:rPr>
              <w:t>Виды деятельности, определенные Уставом Общества</w:t>
            </w:r>
          </w:p>
        </w:tc>
      </w:tr>
      <w:tr w:rsidR="009E269A" w:rsidRPr="00163BA0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 xml:space="preserve">Программа распоряжения непрофильных активов Общества 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4534">
              <w:rPr>
                <w:rFonts w:ascii="Times New Roman" w:eastAsia="Times New Roman" w:hAnsi="Times New Roman" w:cs="Times New Roman"/>
                <w:lang w:eastAsia="zh-CN"/>
              </w:rPr>
              <w:t>Внутренний документ Общества, отражающий основные подходы, принципы и механизм выявления и реализации непрофильных активов</w:t>
            </w:r>
          </w:p>
        </w:tc>
      </w:tr>
      <w:tr w:rsidR="009E269A" w:rsidRPr="00163BA0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 xml:space="preserve">Реестр непрофильных активов Общества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4534">
              <w:rPr>
                <w:rFonts w:ascii="Times New Roman" w:hAnsi="Times New Roman" w:cs="Times New Roman"/>
                <w:bCs/>
              </w:rPr>
              <w:t>РНА</w:t>
            </w: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4534">
              <w:rPr>
                <w:rFonts w:ascii="Times New Roman" w:eastAsia="Times New Roman" w:hAnsi="Times New Roman" w:cs="Times New Roman"/>
                <w:lang w:eastAsia="zh-CN"/>
              </w:rPr>
              <w:t>Перечень всех выявленных непрофильных активов Общества</w:t>
            </w:r>
          </w:p>
        </w:tc>
      </w:tr>
      <w:tr w:rsidR="009E269A" w:rsidRPr="00163BA0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>Единица управленческого учета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4534">
              <w:rPr>
                <w:rFonts w:ascii="Times New Roman" w:hAnsi="Times New Roman" w:cs="Times New Roman"/>
                <w:bCs/>
              </w:rPr>
              <w:t>Е2У</w:t>
            </w: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>Е2У как отдельный актив, так и минимальный комплекс активов, способный (в том числе потенциально) самостоятельно генерировать поступление денежных средств.</w:t>
            </w:r>
          </w:p>
        </w:tc>
      </w:tr>
      <w:tr w:rsidR="009E269A" w:rsidRPr="00163BA0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 xml:space="preserve">Реестр единиц управленческого учета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4534">
              <w:rPr>
                <w:rFonts w:ascii="Times New Roman" w:hAnsi="Times New Roman" w:cs="Times New Roman"/>
              </w:rPr>
              <w:t>Реестр Е2У</w:t>
            </w: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 xml:space="preserve">Перечень всех Е2У Общества, который формируется и ведется на постоянной основе руководством Общества. </w:t>
            </w:r>
          </w:p>
        </w:tc>
      </w:tr>
      <w:tr w:rsidR="009E269A" w:rsidRPr="00163BA0" w:rsidTr="008C7FDA">
        <w:trPr>
          <w:trHeight w:val="291"/>
        </w:trPr>
        <w:tc>
          <w:tcPr>
            <w:tcW w:w="33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 xml:space="preserve">План мероприятий по реализации непрофильных активов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E269A" w:rsidRPr="00DD4534" w:rsidRDefault="009E269A" w:rsidP="008C7FD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5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9E269A" w:rsidRPr="00DD4534" w:rsidRDefault="009E269A" w:rsidP="008C7FDA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D4534">
              <w:rPr>
                <w:rFonts w:ascii="Times New Roman" w:hAnsi="Times New Roman" w:cs="Times New Roman"/>
              </w:rPr>
              <w:t>Внутренний документ Общества, включающий в себя перечень непрофильных активов, планируемых к реализации (отчуждению), способы их реализации с поквартальной разбивкой, а также экономическое обоснование реализации (отчуждения)</w:t>
            </w:r>
          </w:p>
        </w:tc>
      </w:tr>
    </w:tbl>
    <w:p w:rsidR="009E269A" w:rsidRPr="00C10AC4" w:rsidRDefault="009E269A" w:rsidP="009E269A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E269A" w:rsidRPr="006F53A5" w:rsidRDefault="009E269A" w:rsidP="009E269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D7EC3">
        <w:rPr>
          <w:rFonts w:ascii="Times New Roman" w:hAnsi="Times New Roman" w:cs="Times New Roman"/>
          <w:b/>
          <w:sz w:val="28"/>
          <w:szCs w:val="28"/>
        </w:rPr>
        <w:t>2.</w:t>
      </w:r>
      <w:r w:rsidRPr="008D7EC3">
        <w:rPr>
          <w:rFonts w:ascii="Times New Roman" w:hAnsi="Times New Roman" w:cs="Times New Roman"/>
          <w:b/>
          <w:sz w:val="28"/>
          <w:szCs w:val="28"/>
        </w:rPr>
        <w:tab/>
        <w:t>Принципы реализации непрофильных активов.</w:t>
      </w:r>
    </w:p>
    <w:p w:rsidR="009E269A" w:rsidRPr="008D7EC3" w:rsidRDefault="009E269A" w:rsidP="009E269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EC3">
        <w:rPr>
          <w:rFonts w:ascii="Times New Roman" w:hAnsi="Times New Roman" w:cs="Times New Roman"/>
          <w:sz w:val="24"/>
          <w:szCs w:val="24"/>
        </w:rPr>
        <w:t>а)</w:t>
      </w:r>
      <w:r w:rsidRPr="008D7EC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End"/>
      <w:r w:rsidRPr="008D7EC3">
        <w:rPr>
          <w:rFonts w:ascii="Times New Roman" w:hAnsi="Times New Roman" w:cs="Times New Roman"/>
          <w:sz w:val="24"/>
          <w:szCs w:val="24"/>
        </w:rPr>
        <w:t>транспарентность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 xml:space="preserve"> – открытость и доступность информации о применяемых методах и подходах по выявлению непрофильных активов из всей совокупности активов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>;</w:t>
      </w:r>
    </w:p>
    <w:p w:rsidR="009E269A" w:rsidRPr="008D7EC3" w:rsidRDefault="009E269A" w:rsidP="009E269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EC3">
        <w:rPr>
          <w:rFonts w:ascii="Times New Roman" w:hAnsi="Times New Roman" w:cs="Times New Roman"/>
          <w:sz w:val="24"/>
          <w:szCs w:val="24"/>
        </w:rPr>
        <w:t>б)</w:t>
      </w:r>
      <w:r w:rsidRPr="008D7EC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D7EC3">
        <w:rPr>
          <w:rFonts w:ascii="Times New Roman" w:hAnsi="Times New Roman" w:cs="Times New Roman"/>
          <w:sz w:val="24"/>
          <w:szCs w:val="24"/>
        </w:rPr>
        <w:t xml:space="preserve">системность – регулярный анализ активов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на предмет выявления их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непрофильности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>;</w:t>
      </w:r>
    </w:p>
    <w:p w:rsidR="009E269A" w:rsidRPr="008D7EC3" w:rsidRDefault="009E269A" w:rsidP="009E269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EC3">
        <w:rPr>
          <w:rFonts w:ascii="Times New Roman" w:hAnsi="Times New Roman" w:cs="Times New Roman"/>
          <w:sz w:val="24"/>
          <w:szCs w:val="24"/>
        </w:rPr>
        <w:t>в)</w:t>
      </w:r>
      <w:r w:rsidRPr="008D7EC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D7EC3">
        <w:rPr>
          <w:rFonts w:ascii="Times New Roman" w:hAnsi="Times New Roman" w:cs="Times New Roman"/>
          <w:sz w:val="24"/>
          <w:szCs w:val="24"/>
        </w:rPr>
        <w:t>прозрачность – обеспечение открытых и публичных процедур по реализации непрофильных активов, в том числе использование доступных для потенциальных покупателей способов раскрытия информации о реализации непрофильных активов;</w:t>
      </w:r>
    </w:p>
    <w:p w:rsidR="009E269A" w:rsidRPr="008D7EC3" w:rsidRDefault="009E269A" w:rsidP="009E26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EC3">
        <w:rPr>
          <w:rFonts w:ascii="Times New Roman" w:hAnsi="Times New Roman" w:cs="Times New Roman"/>
          <w:sz w:val="24"/>
          <w:szCs w:val="24"/>
        </w:rPr>
        <w:t>г)</w:t>
      </w:r>
      <w:r w:rsidRPr="008D7EC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D7EC3">
        <w:rPr>
          <w:rFonts w:ascii="Times New Roman" w:hAnsi="Times New Roman" w:cs="Times New Roman"/>
          <w:sz w:val="24"/>
          <w:szCs w:val="24"/>
        </w:rPr>
        <w:t>эффективность – экономически обоснованная реализация непрофильного актива;</w:t>
      </w:r>
    </w:p>
    <w:p w:rsidR="009E269A" w:rsidRPr="008D7EC3" w:rsidRDefault="009E269A" w:rsidP="009E26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EC3">
        <w:rPr>
          <w:rFonts w:ascii="Times New Roman" w:hAnsi="Times New Roman" w:cs="Times New Roman"/>
          <w:sz w:val="24"/>
          <w:szCs w:val="24"/>
        </w:rPr>
        <w:t>д)</w:t>
      </w:r>
      <w:r w:rsidRPr="008D7EC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D7EC3">
        <w:rPr>
          <w:rFonts w:ascii="Times New Roman" w:hAnsi="Times New Roman" w:cs="Times New Roman"/>
          <w:sz w:val="24"/>
          <w:szCs w:val="24"/>
        </w:rPr>
        <w:t>максимизация  доходов – реализация непрофильных активов на возмездной основе;</w:t>
      </w:r>
    </w:p>
    <w:p w:rsidR="009E269A" w:rsidRPr="008D7EC3" w:rsidRDefault="009E269A" w:rsidP="009E26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EC3">
        <w:rPr>
          <w:rFonts w:ascii="Times New Roman" w:hAnsi="Times New Roman" w:cs="Times New Roman"/>
          <w:sz w:val="24"/>
          <w:szCs w:val="24"/>
        </w:rPr>
        <w:t>е)</w:t>
      </w:r>
      <w:r w:rsidRPr="008D7EC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D7EC3">
        <w:rPr>
          <w:rFonts w:ascii="Times New Roman" w:hAnsi="Times New Roman" w:cs="Times New Roman"/>
          <w:sz w:val="24"/>
          <w:szCs w:val="24"/>
        </w:rPr>
        <w:t>минимизация расходов – снижение затрат на содержание неликвидных активов;</w:t>
      </w:r>
    </w:p>
    <w:p w:rsidR="009E269A" w:rsidRPr="008D7EC3" w:rsidRDefault="009E269A" w:rsidP="009E26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EC3">
        <w:rPr>
          <w:rFonts w:ascii="Times New Roman" w:hAnsi="Times New Roman" w:cs="Times New Roman"/>
          <w:sz w:val="24"/>
          <w:szCs w:val="24"/>
        </w:rPr>
        <w:t>ж)</w:t>
      </w:r>
      <w:r w:rsidRPr="008D7EC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D7EC3">
        <w:rPr>
          <w:rFonts w:ascii="Times New Roman" w:hAnsi="Times New Roman" w:cs="Times New Roman"/>
          <w:sz w:val="24"/>
          <w:szCs w:val="24"/>
        </w:rPr>
        <w:t xml:space="preserve">защита  экономических интересов при распоряжении активами – своевременная реализация активов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, предотвращение потери стоимости активов, защита прав и интересов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перед совладельцами активов и третьими лицами.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269A" w:rsidRPr="006F53A5" w:rsidRDefault="009E269A" w:rsidP="009E269A">
      <w:pPr>
        <w:ind w:firstLine="765"/>
        <w:rPr>
          <w:rFonts w:ascii="Times New Roman" w:hAnsi="Times New Roman" w:cs="Times New Roman"/>
          <w:b/>
          <w:sz w:val="24"/>
          <w:szCs w:val="24"/>
        </w:rPr>
      </w:pPr>
      <w:r w:rsidRPr="008D7EC3">
        <w:rPr>
          <w:rFonts w:ascii="Times New Roman" w:hAnsi="Times New Roman" w:cs="Times New Roman"/>
          <w:b/>
          <w:sz w:val="24"/>
          <w:szCs w:val="24"/>
        </w:rPr>
        <w:t>3.</w:t>
      </w:r>
      <w:r w:rsidRPr="008D7EC3">
        <w:rPr>
          <w:rFonts w:ascii="Times New Roman" w:hAnsi="Times New Roman" w:cs="Times New Roman"/>
          <w:b/>
          <w:sz w:val="24"/>
          <w:szCs w:val="24"/>
        </w:rPr>
        <w:tab/>
        <w:t>Порядок выявления непрофильных активов.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Процесс выявления непрофильных активов из состава всех активов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начинается с анализа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внеоборотных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 xml:space="preserve"> активов, который проводится в 3 этапа:</w:t>
      </w:r>
    </w:p>
    <w:p w:rsidR="009E269A" w:rsidRPr="008D7EC3" w:rsidRDefault="009E269A" w:rsidP="009E269A">
      <w:pPr>
        <w:numPr>
          <w:ilvl w:val="0"/>
          <w:numId w:val="2"/>
        </w:numPr>
        <w:tabs>
          <w:tab w:val="left" w:pos="1000"/>
        </w:tabs>
        <w:spacing w:after="0" w:line="240" w:lineRule="auto"/>
        <w:ind w:firstLine="765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Подготовительный этап.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На данном этапе проводится:</w:t>
      </w:r>
    </w:p>
    <w:p w:rsidR="009E269A" w:rsidRPr="008D7EC3" w:rsidRDefault="009E269A" w:rsidP="009E269A">
      <w:pPr>
        <w:pStyle w:val="ListParagraph"/>
        <w:numPr>
          <w:ilvl w:val="0"/>
          <w:numId w:val="5"/>
        </w:numPr>
        <w:ind w:left="0" w:firstLine="765"/>
        <w:jc w:val="both"/>
      </w:pPr>
      <w:r w:rsidRPr="008D7EC3">
        <w:t xml:space="preserve">Инвентаризация всех имеющихся в наличии </w:t>
      </w:r>
      <w:proofErr w:type="spellStart"/>
      <w:r w:rsidRPr="008D7EC3">
        <w:t>внеоборотных</w:t>
      </w:r>
      <w:proofErr w:type="spellEnd"/>
      <w:r w:rsidRPr="008D7EC3">
        <w:t xml:space="preserve"> активов </w:t>
      </w:r>
      <w:r>
        <w:rPr>
          <w:bCs/>
        </w:rPr>
        <w:t>Общества</w:t>
      </w:r>
      <w:r w:rsidRPr="008D7EC3">
        <w:t>, а также активов, переданных в доверительное управление, или права на которые удостоверены паями паевых инвестиционных фондов.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При инвентаризации выявляется фактическое наличие активов, которое сопоставляется с данными регистров бухгалтерского учета.</w:t>
      </w:r>
    </w:p>
    <w:p w:rsidR="009E269A" w:rsidRPr="008D7EC3" w:rsidRDefault="009E269A" w:rsidP="009E269A">
      <w:pPr>
        <w:numPr>
          <w:ilvl w:val="0"/>
          <w:numId w:val="3"/>
        </w:numPr>
        <w:tabs>
          <w:tab w:val="left" w:pos="0"/>
        </w:tabs>
        <w:spacing w:after="0" w:line="240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Объединение активов в Е2У (при необходимости) и формирование Реестра Е2У в отношении всех инвентаризируемых активов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>.</w:t>
      </w:r>
    </w:p>
    <w:p w:rsidR="009E269A" w:rsidRPr="008D7EC3" w:rsidRDefault="009E269A" w:rsidP="009E269A">
      <w:pPr>
        <w:pStyle w:val="ListParagraph"/>
        <w:numPr>
          <w:ilvl w:val="0"/>
          <w:numId w:val="3"/>
        </w:numPr>
        <w:tabs>
          <w:tab w:val="left" w:pos="0"/>
        </w:tabs>
      </w:pPr>
      <w:r w:rsidRPr="008D7EC3">
        <w:lastRenderedPageBreak/>
        <w:t>Ведение Реестра Е2У.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Менеджментом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должно быть обеспечено постоянное ведение Реестра Е2У. В последующем каждый принятый на баланс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актив должен быть внесен в Реестр Е2У и закреплен в управленческом учете за ранее определенным (вновь созданным) Е2У не позднее последнего рабочего дня квартала, следующего за кварталом, в котором актив был принят на баланс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>.</w:t>
      </w:r>
    </w:p>
    <w:p w:rsidR="009E269A" w:rsidRPr="008D7EC3" w:rsidRDefault="009E269A" w:rsidP="009E269A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765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Основной этап (этап определения профильности Е2У).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На данном этапе проводится исследование каждой Е2У с точки зрения использования Е2У при осуществлении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основных видов деятельности или влияния на достижение целей и задач, определенных в Стратегии / ДПР с учетом критериев определения профильности Е2У, приведенных в приложении № 1 к настоящей программе (далее – Приложение № 1).</w:t>
      </w:r>
    </w:p>
    <w:p w:rsidR="009E269A" w:rsidRPr="008D7EC3" w:rsidRDefault="009E269A" w:rsidP="009E269A">
      <w:pPr>
        <w:tabs>
          <w:tab w:val="left" w:pos="0"/>
        </w:tabs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В случае если Е2У используется при осуществлении основных видов деятельности, она относится к профильным активам.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Если Е2У не используется при осуществлении основных видов деятельности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>, ее отнесение к профильным (либо непрофильным) осуществляется по нижеследующему алгоритму.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1)</w:t>
      </w:r>
      <w:r w:rsidRPr="008D7EC3">
        <w:rPr>
          <w:rFonts w:ascii="Times New Roman" w:hAnsi="Times New Roman" w:cs="Times New Roman"/>
          <w:sz w:val="24"/>
          <w:szCs w:val="24"/>
        </w:rPr>
        <w:tab/>
        <w:t>Необходимо определить степень влияния факторов, представленных в Приложении № 1, на каждую Е2У включенную в Реестр Е2У, путем выбора ответов (да – фактор оказывает влияние / нет – фактор не влияет).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2)</w:t>
      </w:r>
      <w:r w:rsidRPr="008D7EC3">
        <w:rPr>
          <w:rFonts w:ascii="Times New Roman" w:hAnsi="Times New Roman" w:cs="Times New Roman"/>
          <w:sz w:val="24"/>
          <w:szCs w:val="24"/>
        </w:rPr>
        <w:tab/>
        <w:t>По итогам анализа степени влияния факторов на Е2У, необходимо сопоставить получившийся результат ответов с целевыми ответами для определения профильного актива, приведенными в Приложении № 1.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В случае если полученные результаты ответов совпадают с целевыми ответами, то за каждый ответ присваивается соответствующий показатель (в процентах), при несовпадении – 0.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3)</w:t>
      </w:r>
      <w:r w:rsidRPr="008D7EC3">
        <w:rPr>
          <w:rFonts w:ascii="Times New Roman" w:hAnsi="Times New Roman" w:cs="Times New Roman"/>
          <w:sz w:val="24"/>
          <w:szCs w:val="24"/>
        </w:rPr>
        <w:tab/>
        <w:t>Показатели (в процентах) полученные за каждый ответ, суммируются.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В случае если суммарный результат составляет 50 процентов и более, то Е2У – профильная; если менее 50 процентов – непрофильная.</w:t>
      </w:r>
    </w:p>
    <w:p w:rsidR="009E269A" w:rsidRPr="008D7EC3" w:rsidRDefault="009E269A" w:rsidP="009E269A">
      <w:pPr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Е2У, определенная как непрофильная, подлежит включению в РНА частично или комплексно.</w:t>
      </w:r>
    </w:p>
    <w:p w:rsidR="009E269A" w:rsidRPr="008D7EC3" w:rsidRDefault="009E269A" w:rsidP="009E269A">
      <w:pPr>
        <w:numPr>
          <w:ilvl w:val="0"/>
          <w:numId w:val="6"/>
        </w:numPr>
        <w:tabs>
          <w:tab w:val="left" w:pos="0"/>
        </w:tabs>
        <w:spacing w:after="0" w:line="240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Этап определения профильности активов, включенных в состав профильной Е2У.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Данный этап предполагает определение целесообразности сохранения каждого из активов, входящего в состав Е2У, в отношении которой принято решение о сохранении в </w:t>
      </w:r>
      <w:r w:rsidRPr="008D7EC3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собственности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(профильной Е2У), путем определения степени влияния (значимости) актива в составе Е2У по нижеследующему алгоритму.</w:t>
      </w:r>
    </w:p>
    <w:p w:rsidR="009E269A" w:rsidRPr="008D7EC3" w:rsidRDefault="009E269A" w:rsidP="009E269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1)</w:t>
      </w:r>
      <w:r w:rsidRPr="008D7EC3">
        <w:rPr>
          <w:rFonts w:ascii="Times New Roman" w:hAnsi="Times New Roman" w:cs="Times New Roman"/>
          <w:sz w:val="24"/>
          <w:szCs w:val="24"/>
        </w:rPr>
        <w:tab/>
        <w:t>Необходимо определить степень значимости актива, включенного в состав профильного Е2У, исходя из критериев оценки, приведенных в приложении № 2 к настоящей программе (далее – Приложение № 2), путем выбора ответов (да – фактор оказывает влияние / нет – фактор не влияет).</w:t>
      </w:r>
    </w:p>
    <w:p w:rsidR="009E269A" w:rsidRPr="008D7EC3" w:rsidRDefault="009E269A" w:rsidP="009E269A">
      <w:pPr>
        <w:pStyle w:val="ListParagraph"/>
        <w:numPr>
          <w:ilvl w:val="0"/>
          <w:numId w:val="5"/>
        </w:numPr>
        <w:tabs>
          <w:tab w:val="left" w:pos="0"/>
        </w:tabs>
        <w:ind w:left="0" w:firstLine="709"/>
        <w:jc w:val="both"/>
      </w:pPr>
      <w:r w:rsidRPr="008D7EC3">
        <w:t>По результатам исследования, в случае если хотя бы 1 ответ совпадает с целевым ответом, приведенным в Приложении № 2, то актив целесообразно сохранить в составе Е2У.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В случае если ни один из ответов не совпадает с целевым ответом, приведенным в Приложении № 2, актив подлежит исключению из состава профильного Е2У и самостоятельной оценке его профильности в соответствии с критериями, приведенными в Приложении № 1.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Анализ по выявлению непрофильных активов (определению профильности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внеоборотных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 xml:space="preserve"> активов) менеджменту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следует проводить на регулярной (не реже одного раза в календарный год) основе и</w:t>
      </w:r>
      <w:r w:rsidRPr="008D7EC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8D7EC3">
        <w:rPr>
          <w:rFonts w:ascii="Times New Roman" w:hAnsi="Times New Roman" w:cs="Times New Roman"/>
          <w:sz w:val="24"/>
          <w:szCs w:val="24"/>
        </w:rPr>
        <w:t>представлять с исчерпывающими обоснованиями на рассмотрение наблюдательному совету</w:t>
      </w:r>
      <w:r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Pr="008D7EC3">
        <w:rPr>
          <w:rFonts w:ascii="Times New Roman" w:hAnsi="Times New Roman" w:cs="Times New Roman"/>
          <w:sz w:val="24"/>
          <w:szCs w:val="24"/>
        </w:rPr>
        <w:t>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E269A" w:rsidRPr="006F53A5" w:rsidRDefault="009E269A" w:rsidP="009E269A">
      <w:pPr>
        <w:ind w:firstLine="765"/>
        <w:rPr>
          <w:rFonts w:ascii="Times New Roman" w:hAnsi="Times New Roman" w:cs="Times New Roman"/>
          <w:b/>
          <w:sz w:val="24"/>
          <w:szCs w:val="24"/>
        </w:rPr>
      </w:pPr>
      <w:r w:rsidRPr="008D7EC3">
        <w:rPr>
          <w:rFonts w:ascii="Times New Roman" w:hAnsi="Times New Roman" w:cs="Times New Roman"/>
          <w:b/>
          <w:sz w:val="24"/>
          <w:szCs w:val="24"/>
        </w:rPr>
        <w:t>4.</w:t>
      </w:r>
      <w:r w:rsidRPr="008D7EC3">
        <w:rPr>
          <w:rFonts w:ascii="Times New Roman" w:hAnsi="Times New Roman" w:cs="Times New Roman"/>
          <w:b/>
          <w:sz w:val="24"/>
          <w:szCs w:val="24"/>
        </w:rPr>
        <w:tab/>
        <w:t>Реестр непрофильных активов.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Проект РНА разрабатывается менеджментом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анализа активов, </w:t>
      </w:r>
      <w:r w:rsidRPr="008D7EC3">
        <w:rPr>
          <w:rFonts w:ascii="Times New Roman" w:hAnsi="Times New Roman" w:cs="Times New Roman"/>
          <w:sz w:val="24"/>
          <w:szCs w:val="24"/>
        </w:rPr>
        <w:t xml:space="preserve">в случае наличия у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sz w:val="24"/>
          <w:szCs w:val="24"/>
        </w:rPr>
        <w:t>непрофильных активов.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Недопустимо не включать в проект РНА актив, отвечающий признакам непрофильного.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Проект РНА в части непрофильных активов, подлежащих отчуждению, разрабатывается сроком не более чем на 3 года (в течение указанного срока должно быть предусмотрено совершение сделок (действий) по отчуждению непрофильных активов с учетом необходимости разумной минимизации продолжительности срока владения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 w:rsidRPr="008D7EC3">
        <w:rPr>
          <w:rFonts w:ascii="Times New Roman" w:hAnsi="Times New Roman" w:cs="Times New Roman"/>
          <w:sz w:val="24"/>
          <w:szCs w:val="24"/>
        </w:rPr>
        <w:t>соответствующими активами).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По итогам рассмотрения перечня всех непрофильных активов и определения в отношении каждого из них способа распоряжения </w:t>
      </w:r>
      <w:r>
        <w:rPr>
          <w:rFonts w:ascii="Times New Roman" w:hAnsi="Times New Roman" w:cs="Times New Roman"/>
          <w:sz w:val="24"/>
          <w:szCs w:val="24"/>
        </w:rPr>
        <w:t>наблюдательный совет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утверждает РНА, который должен содержать в себе 2 раздела: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1)</w:t>
      </w:r>
      <w:r w:rsidRPr="008D7EC3">
        <w:rPr>
          <w:rFonts w:ascii="Times New Roman" w:hAnsi="Times New Roman" w:cs="Times New Roman"/>
          <w:sz w:val="24"/>
          <w:szCs w:val="24"/>
        </w:rPr>
        <w:tab/>
        <w:t>Перечень непрофильных активов, в отно</w:t>
      </w:r>
      <w:r>
        <w:rPr>
          <w:rFonts w:ascii="Times New Roman" w:hAnsi="Times New Roman" w:cs="Times New Roman"/>
          <w:sz w:val="24"/>
          <w:szCs w:val="24"/>
        </w:rPr>
        <w:t>шении которых наблюдательный совет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определил необходимость их реализации.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8D7EC3">
        <w:rPr>
          <w:rFonts w:ascii="Times New Roman" w:hAnsi="Times New Roman" w:cs="Times New Roman"/>
          <w:sz w:val="24"/>
          <w:szCs w:val="24"/>
        </w:rPr>
        <w:tab/>
        <w:t>Перечень непрофильных активов, в отно</w:t>
      </w:r>
      <w:r>
        <w:rPr>
          <w:rFonts w:ascii="Times New Roman" w:hAnsi="Times New Roman" w:cs="Times New Roman"/>
          <w:sz w:val="24"/>
          <w:szCs w:val="24"/>
        </w:rPr>
        <w:t>шении которых наблюдательный совет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принял решение об их сохранении в </w:t>
      </w:r>
      <w:r>
        <w:rPr>
          <w:rFonts w:ascii="Times New Roman" w:hAnsi="Times New Roman" w:cs="Times New Roman"/>
          <w:bCs/>
          <w:sz w:val="24"/>
          <w:szCs w:val="24"/>
        </w:rPr>
        <w:t>Обществе</w:t>
      </w:r>
      <w:r w:rsidRPr="008D7EC3">
        <w:rPr>
          <w:rFonts w:ascii="Times New Roman" w:hAnsi="Times New Roman" w:cs="Times New Roman"/>
          <w:sz w:val="24"/>
          <w:szCs w:val="24"/>
        </w:rPr>
        <w:t xml:space="preserve"> (в случае если указанная категория непрофильных активов была выявлена менеджментом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>).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Каждый из перечисленных разделов РНА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должен содержать в обязательном порядке следующую информацию по каждому непрофильному активу: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-</w:t>
      </w:r>
      <w:r w:rsidRPr="008D7EC3">
        <w:rPr>
          <w:rFonts w:ascii="Times New Roman" w:hAnsi="Times New Roman" w:cs="Times New Roman"/>
          <w:sz w:val="24"/>
          <w:szCs w:val="24"/>
        </w:rPr>
        <w:tab/>
        <w:t>наименование непрофильного актива;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-</w:t>
      </w:r>
      <w:r w:rsidRPr="008D7EC3">
        <w:rPr>
          <w:rFonts w:ascii="Times New Roman" w:hAnsi="Times New Roman" w:cs="Times New Roman"/>
          <w:sz w:val="24"/>
          <w:szCs w:val="24"/>
        </w:rPr>
        <w:tab/>
        <w:t>средства идентификации непрофильного актива;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-</w:t>
      </w:r>
      <w:r w:rsidRPr="008D7EC3">
        <w:rPr>
          <w:rFonts w:ascii="Times New Roman" w:hAnsi="Times New Roman" w:cs="Times New Roman"/>
          <w:sz w:val="24"/>
          <w:szCs w:val="24"/>
        </w:rPr>
        <w:tab/>
        <w:t>вид деятельности, к которой относится использование непрофильного актива;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-</w:t>
      </w:r>
      <w:r w:rsidRPr="008D7EC3">
        <w:rPr>
          <w:rFonts w:ascii="Times New Roman" w:hAnsi="Times New Roman" w:cs="Times New Roman"/>
          <w:sz w:val="24"/>
          <w:szCs w:val="24"/>
        </w:rPr>
        <w:tab/>
        <w:t>остаточная (балансовая) стоимость непрофильного актива по состоянию на последнюю отчетную дату;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-</w:t>
      </w:r>
      <w:r w:rsidRPr="008D7EC3">
        <w:rPr>
          <w:rFonts w:ascii="Times New Roman" w:hAnsi="Times New Roman" w:cs="Times New Roman"/>
          <w:sz w:val="24"/>
          <w:szCs w:val="24"/>
        </w:rPr>
        <w:tab/>
        <w:t>планируемый способ реализации/сохранения непрофильного актива;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-</w:t>
      </w:r>
      <w:r w:rsidRPr="008D7EC3">
        <w:rPr>
          <w:rFonts w:ascii="Times New Roman" w:hAnsi="Times New Roman" w:cs="Times New Roman"/>
          <w:sz w:val="24"/>
          <w:szCs w:val="24"/>
        </w:rPr>
        <w:tab/>
        <w:t>описание и сведения о правоустанавливающих документах и обременениях.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В первый раз на основании настоящей программы вопрос об утверждении (актуализации/утверждении в новой редакции) РНА менеджмент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выносит на рассмотрение наблюдательным советом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совместно с вопросом об утверждении настоящей программы.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В случае отсутствия непрофильных активов менеджмент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ежегодно выносит на рассмотрение </w:t>
      </w:r>
      <w:r>
        <w:rPr>
          <w:rFonts w:ascii="Times New Roman" w:hAnsi="Times New Roman" w:cs="Times New Roman"/>
          <w:sz w:val="24"/>
          <w:szCs w:val="24"/>
        </w:rPr>
        <w:t>наблюдательным советом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вопрос о нецелесообразности утверждения РНА в связи с отсутствием непрофильных активов с таким расчетом, чтобы соответствующий вопрос был рассмотрен (принято решение) не позднее последнего рабочего дня соответствующего календарного года.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При этом позиция менеджмента об отсутствии непрофильных активов у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должна быть аргументирована в пояснительной записке к материалам </w:t>
      </w:r>
      <w:r>
        <w:rPr>
          <w:rFonts w:ascii="Times New Roman" w:hAnsi="Times New Roman" w:cs="Times New Roman"/>
          <w:sz w:val="24"/>
          <w:szCs w:val="24"/>
        </w:rPr>
        <w:t>наблюдательного совета 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указанием на результаты </w:t>
      </w:r>
      <w:r>
        <w:rPr>
          <w:rFonts w:ascii="Times New Roman" w:hAnsi="Times New Roman" w:cs="Times New Roman"/>
          <w:sz w:val="24"/>
          <w:szCs w:val="24"/>
        </w:rPr>
        <w:t>вышеуказанного анализа активов.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Недопустимо не выносить на рассмотрение </w:t>
      </w:r>
      <w:r>
        <w:rPr>
          <w:rFonts w:ascii="Times New Roman" w:hAnsi="Times New Roman" w:cs="Times New Roman"/>
          <w:sz w:val="24"/>
          <w:szCs w:val="24"/>
        </w:rPr>
        <w:t xml:space="preserve">наблюдательным советом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вопрос о целесообразности/ нецелесообразности утверждения РНА лишь на основании позиции менеджмента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об отсутствии непрофильных активов.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РНА подлежит актуализации/корректировке/утверждению (в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 xml:space="preserve">. в новой редакции) на </w:t>
      </w:r>
      <w:r>
        <w:rPr>
          <w:rFonts w:ascii="Times New Roman" w:hAnsi="Times New Roman" w:cs="Times New Roman"/>
          <w:sz w:val="24"/>
          <w:szCs w:val="24"/>
        </w:rPr>
        <w:t>наблюдательном совете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 случае выявления менеджментом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новых непрофильных активов или выявления менеджментом </w:t>
      </w:r>
      <w:r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целесообразности отчуждения тех непрофильных активов, в отношении которых РНА предусмотрено действие по сохранению, или по итогам завершения срока выполнения </w:t>
      </w:r>
      <w:r w:rsidRPr="008D7EC3">
        <w:rPr>
          <w:rFonts w:ascii="Times New Roman" w:hAnsi="Times New Roman" w:cs="Times New Roman"/>
          <w:sz w:val="24"/>
          <w:szCs w:val="24"/>
        </w:rPr>
        <w:lastRenderedPageBreak/>
        <w:t>действующей программы (Плана мероприятий) – если остаются непрофильные активы, подлежащие реализации (отчуждению).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В таких случаях менеджмент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выносит на рассмотрение </w:t>
      </w:r>
      <w:r>
        <w:rPr>
          <w:rFonts w:ascii="Times New Roman" w:hAnsi="Times New Roman" w:cs="Times New Roman"/>
          <w:sz w:val="24"/>
          <w:szCs w:val="24"/>
        </w:rPr>
        <w:t>наблюдательным советом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вопрос об  актуализации/корректировке/утверждении РНА (в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>. в новой редакции)</w:t>
      </w:r>
      <w:r w:rsidRPr="008D7EC3" w:rsidDel="00E62F27">
        <w:rPr>
          <w:rFonts w:ascii="Times New Roman" w:hAnsi="Times New Roman" w:cs="Times New Roman"/>
          <w:sz w:val="24"/>
          <w:szCs w:val="24"/>
        </w:rPr>
        <w:t xml:space="preserve"> </w:t>
      </w:r>
      <w:r w:rsidRPr="008D7EC3">
        <w:rPr>
          <w:rFonts w:ascii="Times New Roman" w:hAnsi="Times New Roman" w:cs="Times New Roman"/>
          <w:sz w:val="24"/>
          <w:szCs w:val="24"/>
        </w:rPr>
        <w:t>с таким расчетом, чтобы он был рассмотрен (принято решение) на ближайшем заседании соответствующего органа управления, но в любом случае не позднее 2-х месяцев с даты выявления новых непрофильных активов или выявления целесообразности отчуждения непрофильных активов или даты завершения срока выполнения Пл</w:t>
      </w:r>
      <w:r>
        <w:rPr>
          <w:rFonts w:ascii="Times New Roman" w:hAnsi="Times New Roman" w:cs="Times New Roman"/>
          <w:sz w:val="24"/>
          <w:szCs w:val="24"/>
        </w:rPr>
        <w:t>ана мероприятий соответственно.</w:t>
      </w:r>
    </w:p>
    <w:p w:rsidR="009E269A" w:rsidRPr="00C84E69" w:rsidRDefault="009E269A" w:rsidP="009E269A">
      <w:pPr>
        <w:ind w:firstLine="765"/>
        <w:rPr>
          <w:rFonts w:ascii="Times New Roman" w:hAnsi="Times New Roman" w:cs="Times New Roman"/>
          <w:b/>
          <w:sz w:val="24"/>
          <w:szCs w:val="24"/>
        </w:rPr>
      </w:pPr>
      <w:r w:rsidRPr="008D7EC3">
        <w:rPr>
          <w:rFonts w:ascii="Times New Roman" w:hAnsi="Times New Roman" w:cs="Times New Roman"/>
          <w:b/>
          <w:sz w:val="24"/>
          <w:szCs w:val="24"/>
        </w:rPr>
        <w:t>5.</w:t>
      </w:r>
      <w:r w:rsidRPr="008D7EC3">
        <w:rPr>
          <w:rFonts w:ascii="Times New Roman" w:hAnsi="Times New Roman" w:cs="Times New Roman"/>
          <w:b/>
          <w:sz w:val="24"/>
          <w:szCs w:val="24"/>
        </w:rPr>
        <w:tab/>
        <w:t>План мероприятий по р</w:t>
      </w:r>
      <w:r>
        <w:rPr>
          <w:rFonts w:ascii="Times New Roman" w:hAnsi="Times New Roman" w:cs="Times New Roman"/>
          <w:b/>
          <w:sz w:val="24"/>
          <w:szCs w:val="24"/>
        </w:rPr>
        <w:t>еализации непрофильных активов.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Вместе с разработкой проекта РНА (проекта актуализации/ корректировки/новой редакции РНА) менеджменту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>, при выявлении непрофильных активов подлежащих реализации (отчуждению), надлежит разрабатывать проект Плана мероприятий сроком действия не более чем 3 года с поквартальной детализацией (до даты конечной реализации активов).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В Плане мероприятий должны содержаться экономическое обоснование реализации (отчуждения) всех включенных в проект РНА непрофильных активов, подлежащих реализации (отчуждению), с расчетными данными об ожидаемом экономическом эффекте от реализации (отчуждения), указание на возможные прочие выгоды и положительные влияния для хода реализации Стратегии / ДПР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(при наличии таких документов у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) от реализации непрофильных активов, а также матрица возможных рисков, с оценкой степени критичности, и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минимизирующих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 xml:space="preserve"> риски факторов, возникающих для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 результате реализации непрофильных активов.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В первый раз на основании настоящей программы менеджмент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выносит на рассмотрение </w:t>
      </w:r>
      <w:r>
        <w:rPr>
          <w:rFonts w:ascii="Times New Roman" w:hAnsi="Times New Roman" w:cs="Times New Roman"/>
          <w:sz w:val="24"/>
          <w:szCs w:val="24"/>
        </w:rPr>
        <w:t>наблюдательным советом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вопрос об утверждении Плана мероприятий совместно с вопросом об утверждении РНА (в первый раз на основании настоящей программы).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План мероприятий подлежит обязательной актуализации/корректировке /утверждению (в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>. в новой редакции) в случае корректировки РНА, а также ежегодно вне зависимости от необходимости корректировки РНА.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Менеджмент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выносит на рассмотрение </w:t>
      </w:r>
      <w:r>
        <w:rPr>
          <w:rFonts w:ascii="Times New Roman" w:hAnsi="Times New Roman" w:cs="Times New Roman"/>
          <w:sz w:val="24"/>
          <w:szCs w:val="24"/>
        </w:rPr>
        <w:t>наблюдательным советом 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вопрос о ежегодной актуализации/ корректировке/утверждению (в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>. в новой редакции) Плана мероприятий с таким расчетом, чтобы соответствующий вопрос был рассмотрен (принято решение) не позднее последнего рабочего дня соответствующего календарного года.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lastRenderedPageBreak/>
        <w:t xml:space="preserve">Проект Плана мероприятий (в том числе для целей актуализации/ корректировки/утверждения (в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 xml:space="preserve">. в новой редакции)) должен содержать экономические данные (значения) актуального бизнес-плана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>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Менеджменту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надлежит осуществлять ежеквартальную выверку актуальности запланированных экономических ожиданий от продаж, подлежащих реализации непрофильных активов с учетом рыночной конъюнктуры.</w:t>
      </w:r>
    </w:p>
    <w:p w:rsidR="009E269A" w:rsidRPr="008D7EC3" w:rsidRDefault="009E269A" w:rsidP="009E269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Кроме того, при наличии в РНА активов, в отношении которых предусмотрены действия по сохранению, менеджменту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надлежит осуществлять ежеквартальную оценку целесообразности продолжения сохранения таких активов. При выявлении цел</w:t>
      </w:r>
      <w:r>
        <w:rPr>
          <w:rFonts w:ascii="Times New Roman" w:hAnsi="Times New Roman" w:cs="Times New Roman"/>
          <w:sz w:val="24"/>
          <w:szCs w:val="24"/>
        </w:rPr>
        <w:t xml:space="preserve">есообразности отчуждения таких </w:t>
      </w:r>
      <w:r w:rsidRPr="008D7EC3">
        <w:rPr>
          <w:rFonts w:ascii="Times New Roman" w:hAnsi="Times New Roman" w:cs="Times New Roman"/>
          <w:sz w:val="24"/>
          <w:szCs w:val="24"/>
        </w:rPr>
        <w:t xml:space="preserve">непрофильных активов, менеджмент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выносит на рассмотрение </w:t>
      </w:r>
      <w:r>
        <w:rPr>
          <w:rFonts w:ascii="Times New Roman" w:hAnsi="Times New Roman" w:cs="Times New Roman"/>
          <w:sz w:val="24"/>
          <w:szCs w:val="24"/>
        </w:rPr>
        <w:t>наблюдательным советом соответствующий вопрос.</w:t>
      </w:r>
    </w:p>
    <w:p w:rsidR="009E269A" w:rsidRPr="008D7EC3" w:rsidRDefault="009E269A" w:rsidP="009E26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269A" w:rsidRPr="006F53A5" w:rsidRDefault="009E269A" w:rsidP="009E269A">
      <w:pPr>
        <w:ind w:firstLine="765"/>
        <w:rPr>
          <w:rFonts w:ascii="Times New Roman" w:hAnsi="Times New Roman" w:cs="Times New Roman"/>
          <w:b/>
          <w:sz w:val="24"/>
          <w:szCs w:val="24"/>
        </w:rPr>
      </w:pPr>
      <w:r w:rsidRPr="008D7EC3">
        <w:rPr>
          <w:rFonts w:ascii="Times New Roman" w:hAnsi="Times New Roman" w:cs="Times New Roman"/>
          <w:b/>
          <w:sz w:val="24"/>
          <w:szCs w:val="24"/>
        </w:rPr>
        <w:t>6.</w:t>
      </w:r>
      <w:r w:rsidRPr="008D7EC3">
        <w:rPr>
          <w:rFonts w:ascii="Times New Roman" w:hAnsi="Times New Roman" w:cs="Times New Roman"/>
          <w:b/>
          <w:sz w:val="24"/>
          <w:szCs w:val="24"/>
        </w:rPr>
        <w:tab/>
        <w:t>Порядок оценки непрофильных активов.</w:t>
      </w:r>
    </w:p>
    <w:p w:rsidR="009E269A" w:rsidRPr="008D7EC3" w:rsidRDefault="009E269A" w:rsidP="009E269A">
      <w:pPr>
        <w:widowControl w:val="0"/>
        <w:overflowPunct w:val="0"/>
        <w:autoSpaceDE w:val="0"/>
        <w:autoSpaceDN w:val="0"/>
        <w:adjustRightInd w:val="0"/>
        <w:spacing w:line="256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Начальная цена или цена продажи непрофильного актива определяется на основании отчета независимого оценщика, составленного по стандартам в соответствии с требованиями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Грузии</w:t>
      </w:r>
      <w:r w:rsidRPr="008D7EC3">
        <w:rPr>
          <w:rFonts w:ascii="Times New Roman" w:hAnsi="Times New Roman" w:cs="Times New Roman"/>
          <w:sz w:val="24"/>
          <w:szCs w:val="24"/>
        </w:rPr>
        <w:t>.</w:t>
      </w:r>
    </w:p>
    <w:p w:rsidR="009E269A" w:rsidRPr="008D7EC3" w:rsidRDefault="009E269A" w:rsidP="009E269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Определение начальной цены или цены продажи непрофильного актива, производится на основании отчета </w:t>
      </w:r>
      <w:r>
        <w:rPr>
          <w:rFonts w:ascii="Times New Roman" w:hAnsi="Times New Roman" w:cs="Times New Roman"/>
          <w:sz w:val="24"/>
          <w:szCs w:val="24"/>
        </w:rPr>
        <w:t>независимого</w:t>
      </w:r>
      <w:r w:rsidRPr="008D7EC3">
        <w:rPr>
          <w:rFonts w:ascii="Times New Roman" w:hAnsi="Times New Roman" w:cs="Times New Roman"/>
          <w:sz w:val="24"/>
          <w:szCs w:val="24"/>
        </w:rPr>
        <w:t xml:space="preserve"> оценщика, привлекаемого на конкурентной основе.</w:t>
      </w:r>
    </w:p>
    <w:p w:rsidR="009E269A" w:rsidRPr="008D7EC3" w:rsidRDefault="009E269A" w:rsidP="009E269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Привлечение независимого оценщика осуществляется в соответствии внутренним нормативным документом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i/>
          <w:sz w:val="24"/>
          <w:szCs w:val="24"/>
        </w:rPr>
        <w:t>.</w:t>
      </w:r>
    </w:p>
    <w:p w:rsidR="009E269A" w:rsidRPr="008D7EC3" w:rsidRDefault="009E269A" w:rsidP="009E269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В соответствии с отдельным решением </w:t>
      </w:r>
      <w:r>
        <w:rPr>
          <w:rFonts w:ascii="Times New Roman" w:hAnsi="Times New Roman" w:cs="Times New Roman"/>
          <w:sz w:val="24"/>
          <w:szCs w:val="24"/>
        </w:rPr>
        <w:t>наблюдательного совета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допускается реализация непрофильного актива по цене ниже балансовой стоимости.</w:t>
      </w:r>
    </w:p>
    <w:p w:rsidR="009E269A" w:rsidRPr="006F53A5" w:rsidRDefault="009E269A" w:rsidP="009E269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EC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8D7EC3">
        <w:rPr>
          <w:rFonts w:ascii="Times New Roman" w:hAnsi="Times New Roman" w:cs="Times New Roman"/>
          <w:b/>
          <w:sz w:val="24"/>
          <w:szCs w:val="24"/>
        </w:rPr>
        <w:tab/>
        <w:t>Способы и порядок реализации (отчуждения) непрофильных активов.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Реализация (отчу</w:t>
      </w:r>
      <w:r>
        <w:rPr>
          <w:rFonts w:ascii="Times New Roman" w:hAnsi="Times New Roman" w:cs="Times New Roman"/>
          <w:sz w:val="24"/>
          <w:szCs w:val="24"/>
        </w:rPr>
        <w:t>ждение) – это передача Обществом</w:t>
      </w:r>
      <w:r w:rsidRPr="008D7EC3">
        <w:rPr>
          <w:rFonts w:ascii="Times New Roman" w:hAnsi="Times New Roman" w:cs="Times New Roman"/>
          <w:sz w:val="24"/>
          <w:szCs w:val="24"/>
        </w:rPr>
        <w:t xml:space="preserve"> прав на непрофильный актив сторонним лицам.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Реализация (отчуждение) непрофильного актива предполагает следующие способы распоряжения им: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 а)</w:t>
      </w:r>
      <w:r w:rsidRPr="008D7EC3">
        <w:rPr>
          <w:rFonts w:ascii="Times New Roman" w:hAnsi="Times New Roman" w:cs="Times New Roman"/>
          <w:sz w:val="24"/>
          <w:szCs w:val="24"/>
        </w:rPr>
        <w:tab/>
        <w:t xml:space="preserve">продажа – возмездное отчуждение непрофильного актива в собственность иного лица полностью или частично, либо доли в праве собственности на непрофильный актив, передача по договору аренды с правом выкупа, а также отчуждение по инвестиционному соглашению (договору), в качестве взноса по договору простого товарищества или внесение непрофильного актива в оплату уставного капитала </w:t>
      </w:r>
      <w:r w:rsidRPr="008D7EC3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юридического лица, в котором </w:t>
      </w:r>
      <w:r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Pr="008D7EC3">
        <w:rPr>
          <w:rFonts w:ascii="Times New Roman" w:hAnsi="Times New Roman" w:cs="Times New Roman"/>
          <w:sz w:val="24"/>
          <w:szCs w:val="24"/>
        </w:rPr>
        <w:t xml:space="preserve">не является единственным участником при условии, что в результате указанных сделок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EC3">
        <w:rPr>
          <w:rFonts w:ascii="Times New Roman" w:hAnsi="Times New Roman" w:cs="Times New Roman"/>
          <w:sz w:val="24"/>
          <w:szCs w:val="24"/>
        </w:rPr>
        <w:t xml:space="preserve">приобретает права на актив (активы), являющиеся для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профильными;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EC3">
        <w:rPr>
          <w:rFonts w:ascii="Times New Roman" w:hAnsi="Times New Roman" w:cs="Times New Roman"/>
          <w:sz w:val="24"/>
          <w:szCs w:val="24"/>
        </w:rPr>
        <w:t>б)</w:t>
      </w:r>
      <w:r w:rsidRPr="008D7EC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D7EC3">
        <w:rPr>
          <w:rFonts w:ascii="Times New Roman" w:hAnsi="Times New Roman" w:cs="Times New Roman"/>
          <w:sz w:val="24"/>
          <w:szCs w:val="24"/>
        </w:rPr>
        <w:t>безвозмездная передача (в том числе, дарение) – безвозмездное отчуждение непрофильного актива в собственность</w:t>
      </w:r>
      <w:r w:rsidRPr="00ED7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Государства Грузии</w:t>
      </w:r>
      <w:r w:rsidRPr="008D7EC3">
        <w:rPr>
          <w:rFonts w:ascii="Times New Roman" w:hAnsi="Times New Roman" w:cs="Times New Roman"/>
          <w:sz w:val="24"/>
          <w:szCs w:val="24"/>
        </w:rPr>
        <w:t>, субъектов</w:t>
      </w:r>
      <w:r>
        <w:rPr>
          <w:rFonts w:ascii="Times New Roman" w:hAnsi="Times New Roman" w:cs="Times New Roman"/>
          <w:sz w:val="24"/>
          <w:szCs w:val="24"/>
        </w:rPr>
        <w:t xml:space="preserve"> Грузии</w:t>
      </w:r>
      <w:r w:rsidRPr="008D7EC3">
        <w:rPr>
          <w:rFonts w:ascii="Times New Roman" w:hAnsi="Times New Roman" w:cs="Times New Roman"/>
          <w:sz w:val="24"/>
          <w:szCs w:val="24"/>
        </w:rPr>
        <w:t>, муниципальных образований, в случае если передача такого актива обеспечивает реализацию полномочий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Грузии</w:t>
      </w:r>
      <w:r w:rsidRPr="008D7EC3">
        <w:rPr>
          <w:rFonts w:ascii="Times New Roman" w:hAnsi="Times New Roman" w:cs="Times New Roman"/>
          <w:sz w:val="24"/>
          <w:szCs w:val="24"/>
        </w:rPr>
        <w:t xml:space="preserve">, органов государственной власти субъектов </w:t>
      </w:r>
      <w:r>
        <w:rPr>
          <w:rFonts w:ascii="Times New Roman" w:hAnsi="Times New Roman" w:cs="Times New Roman"/>
          <w:sz w:val="24"/>
          <w:szCs w:val="24"/>
        </w:rPr>
        <w:t xml:space="preserve">Грузии </w:t>
      </w:r>
      <w:r w:rsidRPr="008D7EC3">
        <w:rPr>
          <w:rFonts w:ascii="Times New Roman" w:hAnsi="Times New Roman" w:cs="Times New Roman"/>
          <w:sz w:val="24"/>
          <w:szCs w:val="24"/>
        </w:rPr>
        <w:t>или органов местного самоуправления;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в)</w:t>
      </w:r>
      <w:r w:rsidRPr="008D7EC3">
        <w:rPr>
          <w:rFonts w:ascii="Times New Roman" w:hAnsi="Times New Roman" w:cs="Times New Roman"/>
          <w:sz w:val="24"/>
          <w:szCs w:val="24"/>
        </w:rPr>
        <w:tab/>
        <w:t>ликвидация – разукомплектование, списание, уничтожение и т.д. непрофильного актива, в том числе с возможностью последующей продажи отдельных составляющих в случаях, если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 либо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Основными принципами продажи непрофильных активов являются: публичность, открытость, прозрачность,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конкурентность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возмездность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>, обоснованность цены продажи.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В целях обеспечения конкурентного характера возмездного отчуждения непрофильных активов, их продажа осуществляется путем проведения конкурентных процедур, если иное не предусмотрено законодательством (например, преимущественное право покупки и прочее).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Видами конкурентных процедур, которые могут проводиться в отношении непрофильных активов, являются: аукцион, запрос предложений, продажа путем публичного предложения, продажа без объявления цены.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Выбор вида, организация и проведения конкурентных процедур и переход от одной процедуры к другой при продаже непрофильных активов осуществляется в соответствии с внутренним нормативным документом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в части, не противоречащей настоящей программе.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Допускается продажа непрофильного актива без проведения конкурентных процедур юридическому лицу, 100 % участия в котором (прямо и косвенно) принадлежит </w:t>
      </w:r>
      <w:r>
        <w:rPr>
          <w:rFonts w:ascii="Times New Roman" w:hAnsi="Times New Roman" w:cs="Times New Roman"/>
          <w:sz w:val="24"/>
          <w:szCs w:val="24"/>
        </w:rPr>
        <w:t>Обществу</w:t>
      </w:r>
      <w:r w:rsidRPr="008D7EC3">
        <w:rPr>
          <w:rFonts w:ascii="Times New Roman" w:hAnsi="Times New Roman" w:cs="Times New Roman"/>
          <w:sz w:val="24"/>
          <w:szCs w:val="24"/>
        </w:rPr>
        <w:t xml:space="preserve"> и/или иным компаниям Группы «</w:t>
      </w:r>
      <w:proofErr w:type="spellStart"/>
      <w:r w:rsidRPr="008D7EC3">
        <w:rPr>
          <w:rFonts w:ascii="Times New Roman" w:hAnsi="Times New Roman" w:cs="Times New Roman"/>
          <w:sz w:val="24"/>
          <w:szCs w:val="24"/>
        </w:rPr>
        <w:t>Интер</w:t>
      </w:r>
      <w:proofErr w:type="spellEnd"/>
      <w:r w:rsidRPr="008D7EC3">
        <w:rPr>
          <w:rFonts w:ascii="Times New Roman" w:hAnsi="Times New Roman" w:cs="Times New Roman"/>
          <w:sz w:val="24"/>
          <w:szCs w:val="24"/>
        </w:rPr>
        <w:t xml:space="preserve"> РАО».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>В отдельных исключительных случаях допускается продажа без проведения конкурентных процедур при на</w:t>
      </w:r>
      <w:r>
        <w:rPr>
          <w:rFonts w:ascii="Times New Roman" w:hAnsi="Times New Roman" w:cs="Times New Roman"/>
          <w:sz w:val="24"/>
          <w:szCs w:val="24"/>
        </w:rPr>
        <w:t xml:space="preserve">личии соответствующего решения наблюдательного совета Общества </w:t>
      </w:r>
      <w:r w:rsidRPr="008D7EC3">
        <w:rPr>
          <w:rFonts w:ascii="Times New Roman" w:hAnsi="Times New Roman" w:cs="Times New Roman"/>
          <w:sz w:val="24"/>
          <w:szCs w:val="24"/>
        </w:rPr>
        <w:t>в том числе, путем указания на продажу конкретного непрофильного актива без конкурент</w:t>
      </w:r>
      <w:r>
        <w:rPr>
          <w:rFonts w:ascii="Times New Roman" w:hAnsi="Times New Roman" w:cs="Times New Roman"/>
          <w:sz w:val="24"/>
          <w:szCs w:val="24"/>
        </w:rPr>
        <w:t>ных процедур в утвержденном РНА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и надлежащего обоснования.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lastRenderedPageBreak/>
        <w:t>В случае если непрофильный актив является ограниченным в обороте, его продажа осуществляется с участием ограниченного круга потенциальных покупателей. Выбор ограниченного круга потенциальных покупателей осуществляется с учетом установленных ограничений в соответствии с законодательством.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EC3">
        <w:rPr>
          <w:rFonts w:ascii="Times New Roman" w:hAnsi="Times New Roman" w:cs="Times New Roman"/>
          <w:sz w:val="24"/>
          <w:szCs w:val="24"/>
        </w:rPr>
        <w:t xml:space="preserve">Если продажа непрофильного актива путем публичного предложения не состоялась и нет оснований для проведения повторной продажи путем публичного предложения, решение о возможности продажи без объявления цены должно быть дополнительно предварительно принято </w:t>
      </w:r>
      <w:r>
        <w:rPr>
          <w:rFonts w:ascii="Times New Roman" w:hAnsi="Times New Roman" w:cs="Times New Roman"/>
          <w:sz w:val="24"/>
          <w:szCs w:val="24"/>
        </w:rPr>
        <w:t>наблюдательным советом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Общества. Наблюдательный совет</w:t>
      </w:r>
      <w:r w:rsidRPr="008D7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D7EC3">
        <w:rPr>
          <w:rFonts w:ascii="Times New Roman" w:hAnsi="Times New Roman" w:cs="Times New Roman"/>
          <w:sz w:val="24"/>
          <w:szCs w:val="24"/>
        </w:rPr>
        <w:t xml:space="preserve"> при этом вправе установить дополнительные условия продажи, в том числе цену.</w:t>
      </w:r>
    </w:p>
    <w:p w:rsidR="009E269A" w:rsidRPr="00CC063C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F6E">
        <w:rPr>
          <w:rFonts w:ascii="Times New Roman" w:hAnsi="Times New Roman" w:cs="Times New Roman"/>
          <w:sz w:val="24"/>
          <w:szCs w:val="24"/>
        </w:rPr>
        <w:t>Безвозмездная передача (в том числе, дарение) непрофильных активов 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Государства Грузии</w:t>
      </w:r>
      <w:r w:rsidRPr="00B27F6E">
        <w:rPr>
          <w:rFonts w:ascii="Times New Roman" w:hAnsi="Times New Roman" w:cs="Times New Roman"/>
          <w:sz w:val="24"/>
          <w:szCs w:val="24"/>
        </w:rPr>
        <w:t>, субъектов</w:t>
      </w:r>
      <w:r>
        <w:rPr>
          <w:rFonts w:ascii="Times New Roman" w:hAnsi="Times New Roman" w:cs="Times New Roman"/>
          <w:sz w:val="24"/>
          <w:szCs w:val="24"/>
        </w:rPr>
        <w:t xml:space="preserve"> Грузии</w:t>
      </w:r>
      <w:r w:rsidRPr="00B27F6E">
        <w:rPr>
          <w:rFonts w:ascii="Times New Roman" w:hAnsi="Times New Roman" w:cs="Times New Roman"/>
          <w:sz w:val="24"/>
          <w:szCs w:val="24"/>
        </w:rPr>
        <w:t xml:space="preserve">, муниципальных образований может быть осуществлена при наличии письменного согласия соответствующего публично-правового образования и должна быть предварительно одобрена отдельным решением </w:t>
      </w:r>
      <w:r>
        <w:rPr>
          <w:rFonts w:ascii="Times New Roman" w:hAnsi="Times New Roman" w:cs="Times New Roman"/>
          <w:sz w:val="24"/>
          <w:szCs w:val="24"/>
        </w:rPr>
        <w:t>наблюдательного совета</w:t>
      </w:r>
      <w:r w:rsidRPr="00B27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B27F6E">
        <w:rPr>
          <w:rFonts w:ascii="Times New Roman" w:hAnsi="Times New Roman" w:cs="Times New Roman"/>
          <w:sz w:val="24"/>
          <w:szCs w:val="24"/>
        </w:rPr>
        <w:t>.</w:t>
      </w:r>
    </w:p>
    <w:p w:rsidR="009E269A" w:rsidRPr="00CC063C" w:rsidRDefault="009E269A" w:rsidP="009E269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F6E">
        <w:rPr>
          <w:rFonts w:ascii="Times New Roman" w:hAnsi="Times New Roman" w:cs="Times New Roman"/>
          <w:b/>
          <w:sz w:val="24"/>
          <w:szCs w:val="24"/>
        </w:rPr>
        <w:t>8.</w:t>
      </w:r>
      <w:r w:rsidRPr="00B27F6E">
        <w:rPr>
          <w:rFonts w:ascii="Times New Roman" w:hAnsi="Times New Roman" w:cs="Times New Roman"/>
          <w:b/>
          <w:sz w:val="24"/>
          <w:szCs w:val="24"/>
        </w:rPr>
        <w:tab/>
        <w:t>Информационное обеспечение реализации непрофильных активов.</w:t>
      </w:r>
    </w:p>
    <w:p w:rsidR="009E269A" w:rsidRPr="00CC063C" w:rsidRDefault="009E269A" w:rsidP="009E269A">
      <w:pPr>
        <w:widowControl w:val="0"/>
        <w:overflowPunct w:val="0"/>
        <w:autoSpaceDE w:val="0"/>
        <w:autoSpaceDN w:val="0"/>
        <w:adjustRightInd w:val="0"/>
        <w:spacing w:line="26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F6E">
        <w:rPr>
          <w:rFonts w:ascii="Times New Roman" w:hAnsi="Times New Roman" w:cs="Times New Roman"/>
          <w:sz w:val="24"/>
          <w:szCs w:val="24"/>
        </w:rPr>
        <w:t>Утвержденные наблюд</w:t>
      </w:r>
      <w:r>
        <w:rPr>
          <w:rFonts w:ascii="Times New Roman" w:hAnsi="Times New Roman" w:cs="Times New Roman"/>
          <w:sz w:val="24"/>
          <w:szCs w:val="24"/>
        </w:rPr>
        <w:t>ательным советом Общества</w:t>
      </w:r>
      <w:r w:rsidRPr="00B27F6E">
        <w:rPr>
          <w:rFonts w:ascii="Times New Roman" w:hAnsi="Times New Roman" w:cs="Times New Roman"/>
          <w:sz w:val="24"/>
          <w:szCs w:val="24"/>
        </w:rPr>
        <w:t xml:space="preserve"> Программа и РНА подлежат опубликованию в информационно-телекоммуникационной сети «Интернет» на сайте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B27F6E">
        <w:rPr>
          <w:rFonts w:ascii="Times New Roman" w:hAnsi="Times New Roman" w:cs="Times New Roman"/>
          <w:sz w:val="24"/>
          <w:szCs w:val="24"/>
        </w:rPr>
        <w:t>.</w:t>
      </w:r>
    </w:p>
    <w:p w:rsidR="009E269A" w:rsidRPr="00CC063C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F6E">
        <w:rPr>
          <w:rFonts w:ascii="Times New Roman" w:hAnsi="Times New Roman" w:cs="Times New Roman"/>
          <w:sz w:val="24"/>
          <w:szCs w:val="24"/>
        </w:rPr>
        <w:t xml:space="preserve">РНА подлежит обязательной публикации на сайте </w:t>
      </w:r>
      <w:r>
        <w:rPr>
          <w:rFonts w:ascii="Times New Roman" w:hAnsi="Times New Roman" w:cs="Times New Roman"/>
          <w:sz w:val="24"/>
          <w:szCs w:val="24"/>
        </w:rPr>
        <w:t>Общества в срок не позднее 5-ти</w:t>
      </w:r>
      <w:r w:rsidRPr="00B27F6E">
        <w:rPr>
          <w:rFonts w:ascii="Times New Roman" w:hAnsi="Times New Roman" w:cs="Times New Roman"/>
          <w:sz w:val="24"/>
          <w:szCs w:val="24"/>
        </w:rPr>
        <w:t xml:space="preserve">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наблюдательным советом</w:t>
      </w:r>
      <w:r w:rsidRPr="00B27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B27F6E">
        <w:rPr>
          <w:rFonts w:ascii="Times New Roman" w:hAnsi="Times New Roman" w:cs="Times New Roman"/>
          <w:sz w:val="24"/>
          <w:szCs w:val="24"/>
        </w:rPr>
        <w:t xml:space="preserve">. В случае внесения изменений в РНА документ в новой редакции подлежит публикации на сайте </w:t>
      </w:r>
      <w:r>
        <w:rPr>
          <w:rFonts w:ascii="Times New Roman" w:hAnsi="Times New Roman" w:cs="Times New Roman"/>
          <w:sz w:val="24"/>
          <w:szCs w:val="24"/>
        </w:rPr>
        <w:t>Общества в срок не позднее 5-ти</w:t>
      </w:r>
      <w:r w:rsidRPr="00B27F6E">
        <w:rPr>
          <w:rFonts w:ascii="Times New Roman" w:hAnsi="Times New Roman" w:cs="Times New Roman"/>
          <w:sz w:val="24"/>
          <w:szCs w:val="24"/>
        </w:rPr>
        <w:t xml:space="preserve">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наблюдательным советом</w:t>
      </w:r>
      <w:r w:rsidRPr="00B27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B27F6E">
        <w:rPr>
          <w:rFonts w:ascii="Times New Roman" w:hAnsi="Times New Roman" w:cs="Times New Roman"/>
          <w:sz w:val="24"/>
          <w:szCs w:val="24"/>
        </w:rPr>
        <w:t xml:space="preserve"> соответствующих изменений.</w:t>
      </w:r>
    </w:p>
    <w:p w:rsidR="009E269A" w:rsidRPr="00CC063C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F6E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обеспечение свободного доступа лиц, потенциально заинтересованных в приобретении непрофильных активов, осуществляется в соответствии с внутренними нормативными документами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B27F6E">
        <w:rPr>
          <w:rFonts w:ascii="Times New Roman" w:hAnsi="Times New Roman" w:cs="Times New Roman"/>
          <w:sz w:val="24"/>
          <w:szCs w:val="24"/>
        </w:rPr>
        <w:t>.</w:t>
      </w:r>
    </w:p>
    <w:p w:rsidR="009E269A" w:rsidRPr="008D7EC3" w:rsidRDefault="009E269A" w:rsidP="009E2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69A" w:rsidRPr="006F53A5" w:rsidRDefault="009E269A" w:rsidP="009E269A">
      <w:pPr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27F6E">
        <w:rPr>
          <w:rFonts w:ascii="Times New Roman" w:hAnsi="Times New Roman" w:cs="Times New Roman"/>
          <w:b/>
          <w:sz w:val="24"/>
          <w:szCs w:val="28"/>
        </w:rPr>
        <w:t xml:space="preserve">9. Подготовка и представление отчетности о ходе исполнения настоящей программы </w:t>
      </w:r>
      <w:r>
        <w:rPr>
          <w:rFonts w:ascii="Times New Roman" w:hAnsi="Times New Roman" w:cs="Times New Roman"/>
          <w:b/>
          <w:sz w:val="24"/>
          <w:szCs w:val="28"/>
        </w:rPr>
        <w:t>наблюдательному совету</w:t>
      </w:r>
      <w:r w:rsidRPr="00B27F6E">
        <w:rPr>
          <w:rFonts w:ascii="Times New Roman" w:hAnsi="Times New Roman" w:cs="Times New Roman"/>
          <w:b/>
          <w:sz w:val="24"/>
          <w:szCs w:val="28"/>
        </w:rPr>
        <w:t xml:space="preserve"> и акционеру</w:t>
      </w:r>
    </w:p>
    <w:p w:rsidR="009E269A" w:rsidRPr="00CC063C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7F6E">
        <w:rPr>
          <w:rFonts w:ascii="Times New Roman" w:hAnsi="Times New Roman" w:cs="Times New Roman"/>
          <w:sz w:val="24"/>
          <w:szCs w:val="28"/>
        </w:rPr>
        <w:t xml:space="preserve">Менеджмент </w:t>
      </w:r>
      <w:r>
        <w:rPr>
          <w:rFonts w:ascii="Times New Roman" w:hAnsi="Times New Roman" w:cs="Times New Roman"/>
          <w:sz w:val="24"/>
          <w:szCs w:val="28"/>
        </w:rPr>
        <w:t>Общества</w:t>
      </w:r>
      <w:r w:rsidRPr="00B27F6E">
        <w:rPr>
          <w:rFonts w:ascii="Times New Roman" w:hAnsi="Times New Roman" w:cs="Times New Roman"/>
          <w:sz w:val="24"/>
          <w:szCs w:val="28"/>
        </w:rPr>
        <w:t xml:space="preserve"> на ежеквартальной основе до</w:t>
      </w:r>
      <w:r>
        <w:rPr>
          <w:rFonts w:ascii="Times New Roman" w:hAnsi="Times New Roman" w:cs="Times New Roman"/>
          <w:sz w:val="24"/>
          <w:szCs w:val="28"/>
        </w:rPr>
        <w:t>лжен отчитываться перед наблюдательным советом</w:t>
      </w:r>
      <w:r w:rsidRPr="00B27F6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Общества</w:t>
      </w:r>
      <w:r w:rsidRPr="00B27F6E">
        <w:rPr>
          <w:rFonts w:ascii="Times New Roman" w:hAnsi="Times New Roman" w:cs="Times New Roman"/>
          <w:sz w:val="24"/>
          <w:szCs w:val="28"/>
        </w:rPr>
        <w:t xml:space="preserve"> об исполнении настоящей программы (Плана мероприятий).</w:t>
      </w:r>
    </w:p>
    <w:p w:rsidR="009E269A" w:rsidRPr="00CC063C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7F6E">
        <w:rPr>
          <w:rFonts w:ascii="Times New Roman" w:hAnsi="Times New Roman" w:cs="Times New Roman"/>
          <w:sz w:val="24"/>
          <w:szCs w:val="28"/>
        </w:rPr>
        <w:t xml:space="preserve">Менеджмент </w:t>
      </w:r>
      <w:r>
        <w:rPr>
          <w:rFonts w:ascii="Times New Roman" w:hAnsi="Times New Roman" w:cs="Times New Roman"/>
          <w:sz w:val="24"/>
          <w:szCs w:val="28"/>
        </w:rPr>
        <w:t>Общества</w:t>
      </w:r>
      <w:r w:rsidRPr="00B27F6E">
        <w:rPr>
          <w:rFonts w:ascii="Times New Roman" w:hAnsi="Times New Roman" w:cs="Times New Roman"/>
          <w:sz w:val="24"/>
          <w:szCs w:val="28"/>
        </w:rPr>
        <w:t xml:space="preserve"> выносит на рассмотрение </w:t>
      </w:r>
      <w:r>
        <w:rPr>
          <w:rFonts w:ascii="Times New Roman" w:hAnsi="Times New Roman" w:cs="Times New Roman"/>
          <w:sz w:val="24"/>
          <w:szCs w:val="28"/>
        </w:rPr>
        <w:t>наблюдательного совета Общества</w:t>
      </w:r>
      <w:r w:rsidRPr="00B27F6E">
        <w:rPr>
          <w:rFonts w:ascii="Times New Roman" w:hAnsi="Times New Roman" w:cs="Times New Roman"/>
          <w:sz w:val="24"/>
          <w:szCs w:val="28"/>
        </w:rPr>
        <w:t xml:space="preserve"> вопрос об утверждении отчета об исполнении Плана мероприятий с таким расчетом, чтобы </w:t>
      </w:r>
      <w:r w:rsidRPr="00B27F6E">
        <w:rPr>
          <w:rFonts w:ascii="Times New Roman" w:hAnsi="Times New Roman" w:cs="Times New Roman"/>
          <w:sz w:val="24"/>
          <w:szCs w:val="28"/>
        </w:rPr>
        <w:lastRenderedPageBreak/>
        <w:t>соответствующий вопрос был рассмотрен (принято решение) не позднее 45 (сорока пяти) календарных дней со дня завершения отчетного квартала.</w:t>
      </w:r>
    </w:p>
    <w:p w:rsidR="009E269A" w:rsidRPr="00CC063C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7F6E">
        <w:rPr>
          <w:rFonts w:ascii="Times New Roman" w:hAnsi="Times New Roman" w:cs="Times New Roman"/>
          <w:sz w:val="24"/>
          <w:szCs w:val="28"/>
        </w:rPr>
        <w:t>При этом первым отчетным кварталом признается квартал, следующий за кварталом, в котором был утвержден План мероприятий в первый раз на основании настоящей программы.</w:t>
      </w:r>
    </w:p>
    <w:p w:rsidR="009E269A" w:rsidRPr="006F53A5" w:rsidRDefault="009E269A" w:rsidP="009E269A">
      <w:pPr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27F6E">
        <w:rPr>
          <w:rFonts w:ascii="Times New Roman" w:hAnsi="Times New Roman" w:cs="Times New Roman"/>
          <w:b/>
          <w:sz w:val="24"/>
          <w:szCs w:val="28"/>
        </w:rPr>
        <w:t>10. Ответственность руководителей и сотрудников структурных подразделений.</w:t>
      </w:r>
    </w:p>
    <w:p w:rsidR="009E269A" w:rsidRPr="00CC063C" w:rsidRDefault="009E269A" w:rsidP="009E269A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7F6E">
        <w:rPr>
          <w:rFonts w:ascii="Times New Roman" w:hAnsi="Times New Roman" w:cs="Times New Roman"/>
          <w:sz w:val="24"/>
          <w:szCs w:val="28"/>
        </w:rPr>
        <w:t>Порядок и способы премирования/</w:t>
      </w:r>
      <w:proofErr w:type="spellStart"/>
      <w:r w:rsidRPr="00B27F6E">
        <w:rPr>
          <w:rFonts w:ascii="Times New Roman" w:hAnsi="Times New Roman" w:cs="Times New Roman"/>
          <w:sz w:val="24"/>
          <w:szCs w:val="28"/>
        </w:rPr>
        <w:t>депремирования</w:t>
      </w:r>
      <w:proofErr w:type="spellEnd"/>
      <w:r w:rsidRPr="00B27F6E">
        <w:rPr>
          <w:rFonts w:ascii="Times New Roman" w:hAnsi="Times New Roman" w:cs="Times New Roman"/>
          <w:sz w:val="24"/>
          <w:szCs w:val="28"/>
        </w:rPr>
        <w:t xml:space="preserve"> руководителей и сотрудников структурных подразделений, отвечающих за выполнение работ по выявлению непрофильных активов, реализацию непрофильных активов, представление своевременной, качественной, достоверной и полной информации о реализации непрофильных активов акционеру, органам управления и контроля </w:t>
      </w:r>
      <w:r>
        <w:rPr>
          <w:rFonts w:ascii="Times New Roman" w:hAnsi="Times New Roman" w:cs="Times New Roman"/>
          <w:sz w:val="24"/>
          <w:szCs w:val="28"/>
        </w:rPr>
        <w:t>Общества</w:t>
      </w:r>
      <w:r w:rsidRPr="00B27F6E">
        <w:rPr>
          <w:rFonts w:ascii="Times New Roman" w:hAnsi="Times New Roman" w:cs="Times New Roman"/>
          <w:sz w:val="24"/>
          <w:szCs w:val="28"/>
        </w:rPr>
        <w:t xml:space="preserve"> регулируются в рамках трудовых правоотношений </w:t>
      </w:r>
      <w:r>
        <w:rPr>
          <w:rFonts w:ascii="Times New Roman" w:hAnsi="Times New Roman" w:cs="Times New Roman"/>
          <w:sz w:val="24"/>
          <w:szCs w:val="28"/>
        </w:rPr>
        <w:t>Общества</w:t>
      </w:r>
      <w:r w:rsidRPr="00B27F6E">
        <w:rPr>
          <w:rFonts w:ascii="Times New Roman" w:hAnsi="Times New Roman" w:cs="Times New Roman"/>
          <w:sz w:val="24"/>
          <w:szCs w:val="28"/>
        </w:rPr>
        <w:t xml:space="preserve"> с соответствующими ответственными работниками. Необходимость установления соответствующей регуляции определяется</w:t>
      </w:r>
      <w:r>
        <w:rPr>
          <w:rFonts w:ascii="Times New Roman" w:hAnsi="Times New Roman" w:cs="Times New Roman"/>
          <w:sz w:val="24"/>
          <w:szCs w:val="28"/>
        </w:rPr>
        <w:t xml:space="preserve"> Обществом</w:t>
      </w:r>
      <w:r w:rsidRPr="00B27F6E">
        <w:rPr>
          <w:rFonts w:ascii="Times New Roman" w:hAnsi="Times New Roman" w:cs="Times New Roman"/>
          <w:sz w:val="24"/>
          <w:szCs w:val="28"/>
        </w:rPr>
        <w:t xml:space="preserve"> самостоятельно.</w:t>
      </w:r>
    </w:p>
    <w:p w:rsidR="009E269A" w:rsidRPr="00C10AC4" w:rsidRDefault="009E269A" w:rsidP="009E26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rPr>
          <w:rFonts w:ascii="Times New Roman" w:eastAsia="Times New Roman" w:hAnsi="Times New Roman"/>
          <w:sz w:val="24"/>
          <w:szCs w:val="24"/>
        </w:rPr>
      </w:pPr>
      <w:r w:rsidRPr="00C10AC4">
        <w:rPr>
          <w:b/>
          <w:bCs/>
          <w:sz w:val="24"/>
        </w:rPr>
        <w:br w:type="page"/>
      </w: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0AC4">
        <w:rPr>
          <w:rFonts w:ascii="Times New Roman" w:eastAsia="Times New Roman" w:hAnsi="Times New Roman"/>
          <w:sz w:val="24"/>
          <w:szCs w:val="24"/>
        </w:rPr>
        <w:t xml:space="preserve">Приложение №1 </w:t>
      </w: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 w:rsidRPr="00C10AC4"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 w:rsidRPr="00C10A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Программе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 распоряжению </w:t>
      </w:r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непрофильными</w:t>
      </w:r>
      <w:proofErr w:type="gramEnd"/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активов АО «</w:t>
      </w:r>
      <w:proofErr w:type="spellStart"/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>Храми</w:t>
      </w:r>
      <w:proofErr w:type="spellEnd"/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ГЭС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II</w:t>
      </w:r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>»</w:t>
      </w: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9E269A" w:rsidRPr="00C10AC4" w:rsidRDefault="009E269A" w:rsidP="009E269A">
      <w:pPr>
        <w:keepNext/>
        <w:tabs>
          <w:tab w:val="left" w:pos="510"/>
          <w:tab w:val="num" w:pos="135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E269A" w:rsidRPr="000D4B60" w:rsidRDefault="009E269A" w:rsidP="009E269A">
      <w:pPr>
        <w:keepNext/>
        <w:tabs>
          <w:tab w:val="left" w:pos="510"/>
          <w:tab w:val="num" w:pos="135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1</w:t>
      </w:r>
      <w:r w:rsidRPr="000D4B60">
        <w:rPr>
          <w:rFonts w:ascii="Times New Roman" w:eastAsia="Times New Roman" w:hAnsi="Times New Roman"/>
          <w:sz w:val="24"/>
          <w:szCs w:val="24"/>
        </w:rPr>
        <w:t xml:space="preserve"> Факторы определения профильности Е2У</w:t>
      </w:r>
    </w:p>
    <w:tbl>
      <w:tblPr>
        <w:tblStyle w:val="1"/>
        <w:tblW w:w="10410" w:type="dxa"/>
        <w:tblLook w:val="04A0" w:firstRow="1" w:lastRow="0" w:firstColumn="1" w:lastColumn="0" w:noHBand="0" w:noVBand="1"/>
      </w:tblPr>
      <w:tblGrid>
        <w:gridCol w:w="467"/>
        <w:gridCol w:w="7564"/>
        <w:gridCol w:w="1118"/>
        <w:gridCol w:w="1261"/>
      </w:tblGrid>
      <w:tr w:rsidR="009E269A" w:rsidRPr="00BE4C3E" w:rsidTr="008C7FD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b/>
              </w:rPr>
            </w:pPr>
            <w:r w:rsidRPr="00BE4C3E">
              <w:rPr>
                <w:b/>
              </w:rPr>
              <w:t>№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b/>
              </w:rPr>
            </w:pPr>
            <w:r w:rsidRPr="00BE4C3E">
              <w:rPr>
                <w:b/>
              </w:rPr>
              <w:t>Факторы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b/>
              </w:rPr>
            </w:pPr>
            <w:r w:rsidRPr="00BE4C3E">
              <w:rPr>
                <w:b/>
              </w:rPr>
              <w:t>Целевые ответы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b/>
              </w:rPr>
            </w:pPr>
            <w:r w:rsidRPr="00BE4C3E">
              <w:rPr>
                <w:b/>
              </w:rPr>
              <w:t>Удельные веса</w:t>
            </w:r>
          </w:p>
        </w:tc>
      </w:tr>
      <w:tr w:rsidR="009E269A" w:rsidRPr="00BE4C3E" w:rsidTr="008C7FD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both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 xml:space="preserve">Актив, являющийся недвижимым имуществом, расположен на территории, принадлежащей Обществу и используемой для осуществления основного вида деятельности, либо для единственно возможного проезда/прохода к территории, используемой Обществом для осуществления основного вида деятельности </w:t>
            </w:r>
            <w:r>
              <w:rPr>
                <w:sz w:val="24"/>
                <w:szCs w:val="24"/>
              </w:rPr>
              <w:t>(</w:t>
            </w:r>
            <w:r w:rsidRPr="00BE4C3E">
              <w:rPr>
                <w:sz w:val="24"/>
                <w:szCs w:val="24"/>
              </w:rPr>
              <w:t>да/нет)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E4C3E">
              <w:rPr>
                <w:sz w:val="24"/>
                <w:szCs w:val="24"/>
              </w:rPr>
              <w:t>%</w:t>
            </w:r>
          </w:p>
        </w:tc>
      </w:tr>
      <w:tr w:rsidR="009E269A" w:rsidRPr="00BE4C3E" w:rsidTr="008C7FD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both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 xml:space="preserve">Е2У генерирует более 5% выручки по итогам предыдущего года (да/нет)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E4C3E">
              <w:rPr>
                <w:sz w:val="24"/>
                <w:szCs w:val="24"/>
              </w:rPr>
              <w:t>%</w:t>
            </w:r>
          </w:p>
        </w:tc>
      </w:tr>
      <w:tr w:rsidR="009E269A" w:rsidRPr="00BE4C3E" w:rsidTr="008C7FD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both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 xml:space="preserve">Относится к социально значимым объектам (поликлиника, аэропорт, санаторий, спортивный комплекс, общежитие, столовая), выручка которых формируется более чем на 50% за счет предоставления услуг работникам Общества (да/нет)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E4C3E">
              <w:rPr>
                <w:sz w:val="24"/>
                <w:szCs w:val="24"/>
              </w:rPr>
              <w:t>%</w:t>
            </w:r>
          </w:p>
        </w:tc>
      </w:tr>
      <w:tr w:rsidR="009E269A" w:rsidRPr="00BE4C3E" w:rsidTr="008C7FD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both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 xml:space="preserve">Наличие заключенных контрактов или иных обязательств, связанных с использованием Е2У, общей стоимостью более 1% от выручки материнской компании или более </w:t>
            </w:r>
            <w:r w:rsidRPr="000D4B60">
              <w:rPr>
                <w:sz w:val="24"/>
                <w:szCs w:val="24"/>
                <w:highlight w:val="yellow"/>
              </w:rPr>
              <w:t>43 279 000</w:t>
            </w:r>
            <w:r w:rsidRPr="00BE4C3E">
              <w:rPr>
                <w:sz w:val="24"/>
                <w:szCs w:val="24"/>
              </w:rPr>
              <w:t xml:space="preserve"> лари (да/нет)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E4C3E">
              <w:rPr>
                <w:sz w:val="24"/>
                <w:szCs w:val="24"/>
              </w:rPr>
              <w:t>%</w:t>
            </w:r>
          </w:p>
        </w:tc>
      </w:tr>
      <w:tr w:rsidR="009E269A" w:rsidRPr="00BE4C3E" w:rsidTr="008C7FD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5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both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 xml:space="preserve">Е2У содержит активы, результаты деятельности которых составляют государственную тайну либо коммерческую тайну, раскрытие которой для Общества повлечет убытки (да/нет)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E4C3E">
              <w:rPr>
                <w:sz w:val="24"/>
                <w:szCs w:val="24"/>
              </w:rPr>
              <w:t>%</w:t>
            </w:r>
          </w:p>
        </w:tc>
      </w:tr>
      <w:tr w:rsidR="009E269A" w:rsidRPr="00BE4C3E" w:rsidTr="008C7FD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>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both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 xml:space="preserve">Е2У обеспечивает предотвращение чрезвычайных ситуаций, информационную, экономическую и финансовую безопасность Общества и его подконтрольных юридических лиц (да/нет)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 w:rsidRPr="00BE4C3E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keepNext/>
              <w:tabs>
                <w:tab w:val="left" w:pos="510"/>
                <w:tab w:val="num" w:pos="13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E4C3E">
              <w:rPr>
                <w:sz w:val="24"/>
                <w:szCs w:val="24"/>
              </w:rPr>
              <w:t>%</w:t>
            </w:r>
          </w:p>
        </w:tc>
      </w:tr>
    </w:tbl>
    <w:p w:rsidR="009E269A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E269A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E269A" w:rsidRDefault="009E269A" w:rsidP="009E26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269A" w:rsidRDefault="009E269A" w:rsidP="009E26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269A" w:rsidRDefault="009E269A" w:rsidP="009E26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269A" w:rsidRDefault="009E269A" w:rsidP="009E26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269A" w:rsidRDefault="009E269A" w:rsidP="009E26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269A" w:rsidRDefault="009E269A" w:rsidP="009E26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E269A" w:rsidRDefault="009E269A" w:rsidP="009E26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9E269A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№2</w:t>
      </w:r>
      <w:r w:rsidRPr="00C10AC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 w:rsidRPr="00C10AC4"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 w:rsidRPr="00C10A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Программе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 распоряжению </w:t>
      </w:r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9E269A" w:rsidRPr="00C10AC4" w:rsidRDefault="009E269A" w:rsidP="009E269A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непрофильными</w:t>
      </w:r>
      <w:proofErr w:type="gramEnd"/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активов АО «</w:t>
      </w:r>
      <w:proofErr w:type="spellStart"/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>Храми</w:t>
      </w:r>
      <w:proofErr w:type="spellEnd"/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ГЭС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II</w:t>
      </w:r>
      <w:r w:rsidRPr="00C10AC4">
        <w:rPr>
          <w:rFonts w:ascii="Times New Roman" w:eastAsia="Times New Roman" w:hAnsi="Times New Roman"/>
          <w:bCs/>
          <w:color w:val="000000"/>
          <w:sz w:val="24"/>
          <w:szCs w:val="24"/>
        </w:rPr>
        <w:t>»</w:t>
      </w:r>
    </w:p>
    <w:p w:rsidR="009E269A" w:rsidRPr="000D4B60" w:rsidRDefault="009E269A" w:rsidP="009E269A">
      <w:pPr>
        <w:keepNext/>
        <w:tabs>
          <w:tab w:val="left" w:pos="510"/>
          <w:tab w:val="num" w:pos="135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keepNext/>
        <w:tabs>
          <w:tab w:val="left" w:pos="510"/>
          <w:tab w:val="num" w:pos="135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widowControl w:val="0"/>
        <w:tabs>
          <w:tab w:val="left" w:pos="510"/>
          <w:tab w:val="num" w:pos="135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</w:t>
      </w:r>
      <w:r w:rsidRPr="00C10AC4">
        <w:rPr>
          <w:rFonts w:ascii="Times New Roman" w:eastAsia="Times New Roman" w:hAnsi="Times New Roman"/>
          <w:sz w:val="24"/>
          <w:szCs w:val="24"/>
        </w:rPr>
        <w:t xml:space="preserve"> Факторы определения профильности активов в составе Е2У</w:t>
      </w:r>
    </w:p>
    <w:tbl>
      <w:tblPr>
        <w:tblStyle w:val="1"/>
        <w:tblW w:w="10293" w:type="dxa"/>
        <w:tblLook w:val="04A0" w:firstRow="1" w:lastRow="0" w:firstColumn="1" w:lastColumn="0" w:noHBand="0" w:noVBand="1"/>
      </w:tblPr>
      <w:tblGrid>
        <w:gridCol w:w="468"/>
        <w:gridCol w:w="7470"/>
        <w:gridCol w:w="1095"/>
        <w:gridCol w:w="1260"/>
      </w:tblGrid>
      <w:tr w:rsidR="009E269A" w:rsidRPr="00BE4C3E" w:rsidTr="008C7FD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E269A" w:rsidRPr="00BE4C3E" w:rsidRDefault="009E269A" w:rsidP="008C7FDA">
            <w:pPr>
              <w:widowControl w:val="0"/>
              <w:tabs>
                <w:tab w:val="left" w:pos="510"/>
                <w:tab w:val="num" w:pos="1353"/>
              </w:tabs>
              <w:jc w:val="center"/>
              <w:rPr>
                <w:b/>
              </w:rPr>
            </w:pPr>
            <w:r w:rsidRPr="00BE4C3E">
              <w:rPr>
                <w:b/>
              </w:rPr>
              <w:t>№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E269A" w:rsidRPr="00BE4C3E" w:rsidRDefault="009E269A" w:rsidP="008C7FDA">
            <w:pPr>
              <w:widowControl w:val="0"/>
              <w:tabs>
                <w:tab w:val="left" w:pos="510"/>
                <w:tab w:val="num" w:pos="1353"/>
              </w:tabs>
              <w:jc w:val="center"/>
              <w:rPr>
                <w:b/>
              </w:rPr>
            </w:pPr>
            <w:r w:rsidRPr="00BE4C3E">
              <w:rPr>
                <w:b/>
              </w:rPr>
              <w:t>Факторы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E269A" w:rsidRPr="00BE4C3E" w:rsidRDefault="009E269A" w:rsidP="008C7FDA">
            <w:pPr>
              <w:widowControl w:val="0"/>
              <w:tabs>
                <w:tab w:val="left" w:pos="510"/>
                <w:tab w:val="num" w:pos="1353"/>
              </w:tabs>
              <w:jc w:val="center"/>
              <w:rPr>
                <w:b/>
              </w:rPr>
            </w:pPr>
            <w:r w:rsidRPr="00BE4C3E">
              <w:rPr>
                <w:b/>
              </w:rPr>
              <w:t>Целевые ответы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E269A" w:rsidRPr="00BE4C3E" w:rsidRDefault="009E269A" w:rsidP="008C7FDA">
            <w:pPr>
              <w:widowControl w:val="0"/>
              <w:tabs>
                <w:tab w:val="left" w:pos="510"/>
                <w:tab w:val="num" w:pos="1353"/>
              </w:tabs>
              <w:jc w:val="center"/>
              <w:rPr>
                <w:b/>
              </w:rPr>
            </w:pPr>
            <w:r w:rsidRPr="00BE4C3E">
              <w:rPr>
                <w:b/>
              </w:rPr>
              <w:t>Удельные веса</w:t>
            </w:r>
          </w:p>
        </w:tc>
      </w:tr>
      <w:tr w:rsidR="009E269A" w:rsidRPr="00BE4C3E" w:rsidTr="008C7FD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widowControl w:val="0"/>
              <w:jc w:val="both"/>
            </w:pPr>
            <w:r w:rsidRPr="00BE4C3E"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widowControl w:val="0"/>
              <w:tabs>
                <w:tab w:val="left" w:pos="510"/>
                <w:tab w:val="num" w:pos="1353"/>
              </w:tabs>
              <w:jc w:val="both"/>
            </w:pPr>
            <w:r w:rsidRPr="00BE4C3E">
              <w:t xml:space="preserve">Актив является необходимым для обеспечения успешной работы Е2У (да/нет)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widowControl w:val="0"/>
              <w:jc w:val="center"/>
            </w:pPr>
            <w:r w:rsidRPr="00BE4C3E"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widowControl w:val="0"/>
              <w:jc w:val="center"/>
            </w:pPr>
            <w:r w:rsidRPr="00BE4C3E">
              <w:t>100%</w:t>
            </w:r>
          </w:p>
        </w:tc>
      </w:tr>
      <w:tr w:rsidR="009E269A" w:rsidRPr="00BE4C3E" w:rsidTr="008C7FD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widowControl w:val="0"/>
              <w:jc w:val="both"/>
            </w:pPr>
            <w:r w:rsidRPr="00BE4C3E"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widowControl w:val="0"/>
              <w:jc w:val="both"/>
            </w:pPr>
            <w:r w:rsidRPr="00BE4C3E">
              <w:t xml:space="preserve">Актив является неотчуждаемым (сервитут, объект коммерческой тайны, объект необходим для выполнения государственных задач, мобилизационной подготовки, обороны, безопасности и др.) (да/нет)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widowControl w:val="0"/>
              <w:jc w:val="center"/>
            </w:pPr>
            <w:r w:rsidRPr="00BE4C3E">
              <w:t>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69A" w:rsidRPr="00BE4C3E" w:rsidRDefault="009E269A" w:rsidP="008C7FDA">
            <w:pPr>
              <w:widowControl w:val="0"/>
              <w:jc w:val="center"/>
            </w:pPr>
            <w:r w:rsidRPr="00BE4C3E">
              <w:t>100%</w:t>
            </w:r>
          </w:p>
        </w:tc>
      </w:tr>
    </w:tbl>
    <w:p w:rsidR="009E269A" w:rsidRPr="00BE4C3E" w:rsidRDefault="009E269A" w:rsidP="009E26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E269A" w:rsidRPr="00C10AC4" w:rsidRDefault="009E269A" w:rsidP="009E269A">
      <w:pPr>
        <w:widowControl w:val="0"/>
        <w:tabs>
          <w:tab w:val="left" w:pos="510"/>
          <w:tab w:val="num" w:pos="135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</w:p>
    <w:p w:rsidR="009E269A" w:rsidRDefault="009E269A" w:rsidP="009E269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9E269A" w:rsidRDefault="009E269A" w:rsidP="009E269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831A1F" w:rsidRDefault="00831A1F"/>
    <w:sectPr w:rsidR="00831A1F" w:rsidSect="000F0FD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230"/>
    <w:multiLevelType w:val="hybridMultilevel"/>
    <w:tmpl w:val="0FA45D9E"/>
    <w:lvl w:ilvl="0" w:tplc="F9327CFA">
      <w:start w:val="61"/>
      <w:numFmt w:val="upperLetter"/>
      <w:lvlText w:val="%1."/>
      <w:lvlJc w:val="left"/>
    </w:lvl>
    <w:lvl w:ilvl="1" w:tplc="197CEBBC">
      <w:numFmt w:val="decimal"/>
      <w:lvlText w:val=""/>
      <w:lvlJc w:val="left"/>
    </w:lvl>
    <w:lvl w:ilvl="2" w:tplc="2522ECF4">
      <w:numFmt w:val="decimal"/>
      <w:lvlText w:val=""/>
      <w:lvlJc w:val="left"/>
    </w:lvl>
    <w:lvl w:ilvl="3" w:tplc="F85EC5AE">
      <w:numFmt w:val="decimal"/>
      <w:lvlText w:val=""/>
      <w:lvlJc w:val="left"/>
    </w:lvl>
    <w:lvl w:ilvl="4" w:tplc="2402AF32">
      <w:numFmt w:val="decimal"/>
      <w:lvlText w:val=""/>
      <w:lvlJc w:val="left"/>
    </w:lvl>
    <w:lvl w:ilvl="5" w:tplc="BA665F48">
      <w:numFmt w:val="decimal"/>
      <w:lvlText w:val=""/>
      <w:lvlJc w:val="left"/>
    </w:lvl>
    <w:lvl w:ilvl="6" w:tplc="EBC4624A">
      <w:numFmt w:val="decimal"/>
      <w:lvlText w:val=""/>
      <w:lvlJc w:val="left"/>
    </w:lvl>
    <w:lvl w:ilvl="7" w:tplc="2078023A">
      <w:numFmt w:val="decimal"/>
      <w:lvlText w:val=""/>
      <w:lvlJc w:val="left"/>
    </w:lvl>
    <w:lvl w:ilvl="8" w:tplc="D2D83D82">
      <w:numFmt w:val="decimal"/>
      <w:lvlText w:val=""/>
      <w:lvlJc w:val="left"/>
    </w:lvl>
  </w:abstractNum>
  <w:abstractNum w:abstractNumId="1">
    <w:nsid w:val="00004CAD"/>
    <w:multiLevelType w:val="hybridMultilevel"/>
    <w:tmpl w:val="1BF617F0"/>
    <w:lvl w:ilvl="0" w:tplc="D06EADB0">
      <w:start w:val="2"/>
      <w:numFmt w:val="decimal"/>
      <w:lvlText w:val="%1)"/>
      <w:lvlJc w:val="left"/>
    </w:lvl>
    <w:lvl w:ilvl="1" w:tplc="E9DAF2BC">
      <w:numFmt w:val="decimal"/>
      <w:lvlText w:val=""/>
      <w:lvlJc w:val="left"/>
    </w:lvl>
    <w:lvl w:ilvl="2" w:tplc="C18C8A60">
      <w:numFmt w:val="decimal"/>
      <w:lvlText w:val=""/>
      <w:lvlJc w:val="left"/>
    </w:lvl>
    <w:lvl w:ilvl="3" w:tplc="F1003826">
      <w:numFmt w:val="decimal"/>
      <w:lvlText w:val=""/>
      <w:lvlJc w:val="left"/>
    </w:lvl>
    <w:lvl w:ilvl="4" w:tplc="6DB8993C">
      <w:numFmt w:val="decimal"/>
      <w:lvlText w:val=""/>
      <w:lvlJc w:val="left"/>
    </w:lvl>
    <w:lvl w:ilvl="5" w:tplc="F96A15FA">
      <w:numFmt w:val="decimal"/>
      <w:lvlText w:val=""/>
      <w:lvlJc w:val="left"/>
    </w:lvl>
    <w:lvl w:ilvl="6" w:tplc="69DECE9C">
      <w:numFmt w:val="decimal"/>
      <w:lvlText w:val=""/>
      <w:lvlJc w:val="left"/>
    </w:lvl>
    <w:lvl w:ilvl="7" w:tplc="ED244096">
      <w:numFmt w:val="decimal"/>
      <w:lvlText w:val=""/>
      <w:lvlJc w:val="left"/>
    </w:lvl>
    <w:lvl w:ilvl="8" w:tplc="0D62D86A">
      <w:numFmt w:val="decimal"/>
      <w:lvlText w:val=""/>
      <w:lvlJc w:val="left"/>
    </w:lvl>
  </w:abstractNum>
  <w:abstractNum w:abstractNumId="2">
    <w:nsid w:val="00004DF2"/>
    <w:multiLevelType w:val="hybridMultilevel"/>
    <w:tmpl w:val="9BD255F2"/>
    <w:lvl w:ilvl="0" w:tplc="8A869DA8">
      <w:start w:val="35"/>
      <w:numFmt w:val="upperLetter"/>
      <w:lvlText w:val="%1."/>
      <w:lvlJc w:val="left"/>
      <w:rPr>
        <w:sz w:val="28"/>
        <w:szCs w:val="28"/>
      </w:rPr>
    </w:lvl>
    <w:lvl w:ilvl="1" w:tplc="63AE8928">
      <w:numFmt w:val="decimal"/>
      <w:lvlText w:val=""/>
      <w:lvlJc w:val="left"/>
    </w:lvl>
    <w:lvl w:ilvl="2" w:tplc="24867910">
      <w:numFmt w:val="decimal"/>
      <w:lvlText w:val=""/>
      <w:lvlJc w:val="left"/>
    </w:lvl>
    <w:lvl w:ilvl="3" w:tplc="F5323A44">
      <w:numFmt w:val="decimal"/>
      <w:lvlText w:val=""/>
      <w:lvlJc w:val="left"/>
    </w:lvl>
    <w:lvl w:ilvl="4" w:tplc="9EC8D14C">
      <w:numFmt w:val="decimal"/>
      <w:lvlText w:val=""/>
      <w:lvlJc w:val="left"/>
    </w:lvl>
    <w:lvl w:ilvl="5" w:tplc="08305640">
      <w:numFmt w:val="decimal"/>
      <w:lvlText w:val=""/>
      <w:lvlJc w:val="left"/>
    </w:lvl>
    <w:lvl w:ilvl="6" w:tplc="48123662">
      <w:numFmt w:val="decimal"/>
      <w:lvlText w:val=""/>
      <w:lvlJc w:val="left"/>
    </w:lvl>
    <w:lvl w:ilvl="7" w:tplc="9CE0DDF6">
      <w:numFmt w:val="decimal"/>
      <w:lvlText w:val=""/>
      <w:lvlJc w:val="left"/>
    </w:lvl>
    <w:lvl w:ilvl="8" w:tplc="E75A1482">
      <w:numFmt w:val="decimal"/>
      <w:lvlText w:val=""/>
      <w:lvlJc w:val="left"/>
    </w:lvl>
  </w:abstractNum>
  <w:abstractNum w:abstractNumId="3">
    <w:nsid w:val="00005F49"/>
    <w:multiLevelType w:val="hybridMultilevel"/>
    <w:tmpl w:val="FC1E946C"/>
    <w:lvl w:ilvl="0" w:tplc="6DC22FE0">
      <w:start w:val="9"/>
      <w:numFmt w:val="upperLetter"/>
      <w:lvlText w:val="%1."/>
      <w:lvlJc w:val="left"/>
    </w:lvl>
    <w:lvl w:ilvl="1" w:tplc="1A80DFFE">
      <w:numFmt w:val="decimal"/>
      <w:lvlText w:val=""/>
      <w:lvlJc w:val="left"/>
    </w:lvl>
    <w:lvl w:ilvl="2" w:tplc="D8D28F12">
      <w:numFmt w:val="decimal"/>
      <w:lvlText w:val=""/>
      <w:lvlJc w:val="left"/>
    </w:lvl>
    <w:lvl w:ilvl="3" w:tplc="28FEF5A2">
      <w:numFmt w:val="decimal"/>
      <w:lvlText w:val=""/>
      <w:lvlJc w:val="left"/>
    </w:lvl>
    <w:lvl w:ilvl="4" w:tplc="E95AC6AC">
      <w:numFmt w:val="decimal"/>
      <w:lvlText w:val=""/>
      <w:lvlJc w:val="left"/>
    </w:lvl>
    <w:lvl w:ilvl="5" w:tplc="53043E8A">
      <w:numFmt w:val="decimal"/>
      <w:lvlText w:val=""/>
      <w:lvlJc w:val="left"/>
    </w:lvl>
    <w:lvl w:ilvl="6" w:tplc="BFB2B868">
      <w:numFmt w:val="decimal"/>
      <w:lvlText w:val=""/>
      <w:lvlJc w:val="left"/>
    </w:lvl>
    <w:lvl w:ilvl="7" w:tplc="20408EB6">
      <w:numFmt w:val="decimal"/>
      <w:lvlText w:val=""/>
      <w:lvlJc w:val="left"/>
    </w:lvl>
    <w:lvl w:ilvl="8" w:tplc="4B36D608">
      <w:numFmt w:val="decimal"/>
      <w:lvlText w:val=""/>
      <w:lvlJc w:val="left"/>
    </w:lvl>
  </w:abstractNum>
  <w:abstractNum w:abstractNumId="4">
    <w:nsid w:val="4D5E51DE"/>
    <w:multiLevelType w:val="hybridMultilevel"/>
    <w:tmpl w:val="08864B5C"/>
    <w:lvl w:ilvl="0" w:tplc="4E5C89D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75766E9E"/>
    <w:multiLevelType w:val="multilevel"/>
    <w:tmpl w:val="60DEBD92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m2"/>
      <w:lvlText w:val="%1.%2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DD"/>
    <w:rsid w:val="00080BA2"/>
    <w:rsid w:val="000F0FD8"/>
    <w:rsid w:val="000F566A"/>
    <w:rsid w:val="00284AC6"/>
    <w:rsid w:val="002872BD"/>
    <w:rsid w:val="002F3076"/>
    <w:rsid w:val="00490ACB"/>
    <w:rsid w:val="00501E9A"/>
    <w:rsid w:val="00625BC0"/>
    <w:rsid w:val="007B014C"/>
    <w:rsid w:val="00831A1F"/>
    <w:rsid w:val="008331D3"/>
    <w:rsid w:val="008F2E0A"/>
    <w:rsid w:val="009E269A"/>
    <w:rsid w:val="00A77F68"/>
    <w:rsid w:val="00D125F8"/>
    <w:rsid w:val="00D3306A"/>
    <w:rsid w:val="00E5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81DEF-7CF1-4427-9937-60444EFD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1">
    <w:name w:val="m_1_Пункт"/>
    <w:basedOn w:val="Normal"/>
    <w:next w:val="Normal"/>
    <w:rsid w:val="009E269A"/>
    <w:pPr>
      <w:keepNext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m2">
    <w:name w:val="m_2_Пункт"/>
    <w:basedOn w:val="Normal"/>
    <w:next w:val="Normal"/>
    <w:rsid w:val="009E269A"/>
    <w:pPr>
      <w:keepNext/>
      <w:numPr>
        <w:ilvl w:val="1"/>
        <w:numId w:val="1"/>
      </w:numPr>
      <w:tabs>
        <w:tab w:val="left" w:pos="51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3">
    <w:name w:val="m_3_Пункт"/>
    <w:basedOn w:val="Normal"/>
    <w:next w:val="Normal"/>
    <w:rsid w:val="009E269A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aliases w:val="-Абзац списка"/>
    <w:basedOn w:val="Normal"/>
    <w:link w:val="ListParagraphChar"/>
    <w:uiPriority w:val="34"/>
    <w:qFormat/>
    <w:rsid w:val="009E26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-Абзац списка Char"/>
    <w:link w:val="ListParagraph"/>
    <w:uiPriority w:val="34"/>
    <w:locked/>
    <w:rsid w:val="009E2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TableNormal"/>
    <w:next w:val="TableGrid"/>
    <w:uiPriority w:val="59"/>
    <w:rsid w:val="009E2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E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3337</Words>
  <Characters>19024</Characters>
  <Application>Microsoft Office Word</Application>
  <DocSecurity>0</DocSecurity>
  <Lines>158</Lines>
  <Paragraphs>44</Paragraphs>
  <ScaleCrop>false</ScaleCrop>
  <Company>Windows User</Company>
  <LinksUpToDate>false</LinksUpToDate>
  <CharactersWithSpaces>22317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Oganesyan</dc:creator>
  <cp:keywords/>
  <dc:description/>
  <cp:lastModifiedBy>Anna Oganesyan</cp:lastModifiedBy>
  <cp:revision>2</cp:revision>
  <dcterms:created xsi:type="dcterms:W3CDTF">2017-12-15T08:01:00Z</dcterms:created>
  <dcterms:modified xsi:type="dcterms:W3CDTF">2017-12-15T08:02:00Z</dcterms:modified>
</cp:coreProperties>
</file>